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A4BD05" w14:textId="18E57707" w:rsidR="00605C4A" w:rsidRPr="00644656" w:rsidRDefault="00605C4A" w:rsidP="00973755">
      <w:pPr>
        <w:spacing w:after="240" w:line="276" w:lineRule="auto"/>
        <w:jc w:val="center"/>
        <w:textAlignment w:val="top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lt-LT"/>
        </w:rPr>
      </w:pPr>
      <w:r w:rsidRPr="0064465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lt-LT"/>
        </w:rPr>
        <w:t>KUPIŠKIO L</w:t>
      </w:r>
      <w:r w:rsidR="00CD6C1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lt-LT"/>
        </w:rPr>
        <w:t>AURYNO</w:t>
      </w:r>
      <w:r w:rsidRPr="0064465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lt-LT"/>
        </w:rPr>
        <w:t xml:space="preserve"> STUOKOS-GUCEVIČIAUS GIMNAZIJ</w:t>
      </w:r>
      <w:r w:rsidR="00EB4C58" w:rsidRPr="0064465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lt-LT"/>
        </w:rPr>
        <w:t>OS</w:t>
      </w:r>
    </w:p>
    <w:p w14:paraId="7EF50944" w14:textId="7DB3AC8B" w:rsidR="002A6E9A" w:rsidRPr="00C21657" w:rsidRDefault="00605C4A" w:rsidP="00973755">
      <w:pPr>
        <w:spacing w:after="240" w:line="276" w:lineRule="auto"/>
        <w:jc w:val="center"/>
        <w:textAlignment w:val="top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lt-LT"/>
        </w:rPr>
      </w:pPr>
      <w:r w:rsidRPr="0064465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lt-LT"/>
        </w:rPr>
        <w:t>ĮSIVERTINIMO IR PAŽANGOS ATASKAITA</w:t>
      </w:r>
      <w:r w:rsidR="007C4D0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lt-LT"/>
        </w:rPr>
        <w:t xml:space="preserve"> </w:t>
      </w:r>
      <w:r w:rsidR="00E2562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lt-LT"/>
        </w:rPr>
        <w:t xml:space="preserve">( už </w:t>
      </w:r>
      <w:r w:rsidR="00E25620" w:rsidRPr="0064465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lt-LT"/>
        </w:rPr>
        <w:t>202</w:t>
      </w:r>
      <w:r w:rsidR="00860B8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lt-LT"/>
        </w:rPr>
        <w:t>3</w:t>
      </w:r>
      <w:r w:rsidR="00E25620" w:rsidRPr="0064465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lt-LT"/>
        </w:rPr>
        <w:t xml:space="preserve"> </w:t>
      </w:r>
      <w:r w:rsidR="00E2562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lt-LT"/>
        </w:rPr>
        <w:t>m)</w:t>
      </w:r>
      <w:r w:rsidR="00E25620" w:rsidRPr="0064465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lt-LT"/>
        </w:rPr>
        <w:t>.</w:t>
      </w:r>
    </w:p>
    <w:p w14:paraId="629E0C50" w14:textId="401587FA" w:rsidR="00EB4C58" w:rsidRDefault="00316920" w:rsidP="00973755">
      <w:pPr>
        <w:spacing w:after="0" w:line="276" w:lineRule="auto"/>
        <w:jc w:val="both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644656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I. </w:t>
      </w:r>
      <w:r w:rsidR="00EB4C58" w:rsidRPr="00644656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BENDRA INFORMACIJA APIE MOKYKLĄ </w:t>
      </w:r>
    </w:p>
    <w:p w14:paraId="150E5A8A" w14:textId="77777777" w:rsidR="00473ECB" w:rsidRPr="00473ECB" w:rsidRDefault="00473ECB" w:rsidP="00973755">
      <w:pPr>
        <w:spacing w:after="0" w:line="276" w:lineRule="auto"/>
        <w:jc w:val="both"/>
        <w:textAlignment w:val="top"/>
        <w:rPr>
          <w:rFonts w:ascii="Times New Roman" w:eastAsia="Times New Roman" w:hAnsi="Times New Roman" w:cs="Times New Roman"/>
          <w:b/>
          <w:bCs/>
          <w:sz w:val="6"/>
          <w:szCs w:val="6"/>
          <w:lang w:eastAsia="lt-LT"/>
        </w:rPr>
      </w:pPr>
    </w:p>
    <w:tbl>
      <w:tblPr>
        <w:tblStyle w:val="Lentelstinklelis"/>
        <w:tblW w:w="10201" w:type="dxa"/>
        <w:tblLook w:val="04A0" w:firstRow="1" w:lastRow="0" w:firstColumn="1" w:lastColumn="0" w:noHBand="0" w:noVBand="1"/>
      </w:tblPr>
      <w:tblGrid>
        <w:gridCol w:w="2689"/>
        <w:gridCol w:w="7512"/>
      </w:tblGrid>
      <w:tr w:rsidR="00280C04" w:rsidRPr="00644656" w14:paraId="70390CD1" w14:textId="77777777" w:rsidTr="00FF0497">
        <w:tc>
          <w:tcPr>
            <w:tcW w:w="2689" w:type="dxa"/>
          </w:tcPr>
          <w:p w14:paraId="17878A8B" w14:textId="331B8FB4" w:rsidR="00280C04" w:rsidRPr="00644656" w:rsidRDefault="00280C04" w:rsidP="00973755">
            <w:pPr>
              <w:spacing w:line="276" w:lineRule="auto"/>
              <w:jc w:val="both"/>
              <w:textAlignment w:val="top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6446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Mokyklos pavadinimas</w:t>
            </w:r>
          </w:p>
        </w:tc>
        <w:tc>
          <w:tcPr>
            <w:tcW w:w="7512" w:type="dxa"/>
          </w:tcPr>
          <w:p w14:paraId="45DAA6AD" w14:textId="04EE4C4F" w:rsidR="00280C04" w:rsidRPr="00644656" w:rsidRDefault="00280C04" w:rsidP="00973755">
            <w:pPr>
              <w:spacing w:line="276" w:lineRule="auto"/>
              <w:jc w:val="both"/>
              <w:textAlignment w:val="top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644656">
              <w:rPr>
                <w:rFonts w:ascii="Times New Roman" w:eastAsia="Times New Roman" w:hAnsi="Times New Roman" w:cs="Times New Roman"/>
                <w:sz w:val="24"/>
                <w:szCs w:val="24"/>
              </w:rPr>
              <w:t>Kupiškio Lauryno Stuokos-Gucevičiaus gimnazija</w:t>
            </w:r>
          </w:p>
        </w:tc>
      </w:tr>
      <w:tr w:rsidR="00280C04" w:rsidRPr="00644656" w14:paraId="1E67D9CF" w14:textId="77777777" w:rsidTr="00FF0497">
        <w:tc>
          <w:tcPr>
            <w:tcW w:w="2689" w:type="dxa"/>
          </w:tcPr>
          <w:p w14:paraId="2F7D3B2E" w14:textId="393F16E9" w:rsidR="00280C04" w:rsidRPr="00644656" w:rsidRDefault="00280C04" w:rsidP="00973755">
            <w:pPr>
              <w:spacing w:line="276" w:lineRule="auto"/>
              <w:jc w:val="both"/>
              <w:textAlignment w:val="top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6446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Ataskaitą pildė</w:t>
            </w:r>
          </w:p>
        </w:tc>
        <w:tc>
          <w:tcPr>
            <w:tcW w:w="7512" w:type="dxa"/>
          </w:tcPr>
          <w:p w14:paraId="725412F3" w14:textId="31D1C4ED" w:rsidR="00280C04" w:rsidRPr="00644656" w:rsidRDefault="00280C04" w:rsidP="00973755">
            <w:pPr>
              <w:spacing w:line="276" w:lineRule="auto"/>
              <w:jc w:val="both"/>
              <w:textAlignment w:val="top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6446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Jurgita </w:t>
            </w:r>
            <w:proofErr w:type="spellStart"/>
            <w:r w:rsidRPr="00644656">
              <w:rPr>
                <w:rFonts w:ascii="Times New Roman" w:eastAsia="Calibri" w:hAnsi="Times New Roman" w:cs="Times New Roman"/>
                <w:sz w:val="24"/>
                <w:szCs w:val="24"/>
              </w:rPr>
              <w:t>Valauskienė</w:t>
            </w:r>
            <w:proofErr w:type="spellEnd"/>
          </w:p>
        </w:tc>
      </w:tr>
      <w:tr w:rsidR="00280C04" w:rsidRPr="00644656" w14:paraId="42BCFBB5" w14:textId="77777777" w:rsidTr="00FF0497">
        <w:tc>
          <w:tcPr>
            <w:tcW w:w="2689" w:type="dxa"/>
          </w:tcPr>
          <w:p w14:paraId="111B9279" w14:textId="0F22431D" w:rsidR="00280C04" w:rsidRPr="00644656" w:rsidRDefault="009E69E2" w:rsidP="00973755">
            <w:pPr>
              <w:spacing w:line="276" w:lineRule="auto"/>
              <w:textAlignment w:val="top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E</w:t>
            </w:r>
            <w:r w:rsidR="00280C04" w:rsidRPr="006446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l. pašto adresas</w:t>
            </w:r>
          </w:p>
        </w:tc>
        <w:tc>
          <w:tcPr>
            <w:tcW w:w="7512" w:type="dxa"/>
          </w:tcPr>
          <w:p w14:paraId="69CEEF3E" w14:textId="5066A7DF" w:rsidR="00280C04" w:rsidRPr="00644656" w:rsidRDefault="000A2CF9" w:rsidP="00973755">
            <w:pPr>
              <w:spacing w:line="276" w:lineRule="auto"/>
              <w:jc w:val="both"/>
              <w:textAlignment w:val="top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hyperlink r:id="rId5" w:history="1">
              <w:r w:rsidR="00280C04" w:rsidRPr="00644656"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</w:rPr>
                <w:t>stuoka@gmail.com</w:t>
              </w:r>
            </w:hyperlink>
          </w:p>
        </w:tc>
      </w:tr>
      <w:tr w:rsidR="00280C04" w:rsidRPr="00644656" w14:paraId="420FE42D" w14:textId="77777777" w:rsidTr="00FF0497">
        <w:tc>
          <w:tcPr>
            <w:tcW w:w="2689" w:type="dxa"/>
          </w:tcPr>
          <w:p w14:paraId="671134F4" w14:textId="0AE5C6D9" w:rsidR="00280C04" w:rsidRPr="00644656" w:rsidRDefault="00280C04" w:rsidP="00973755">
            <w:pPr>
              <w:spacing w:line="276" w:lineRule="auto"/>
              <w:jc w:val="both"/>
              <w:textAlignment w:val="top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465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Ataskaitos laikotarpis</w:t>
            </w:r>
          </w:p>
        </w:tc>
        <w:tc>
          <w:tcPr>
            <w:tcW w:w="7512" w:type="dxa"/>
          </w:tcPr>
          <w:p w14:paraId="1A296B8E" w14:textId="5AB1712E" w:rsidR="00280C04" w:rsidRPr="00644656" w:rsidRDefault="00280C04" w:rsidP="00973755">
            <w:pPr>
              <w:spacing w:line="276" w:lineRule="auto"/>
              <w:jc w:val="both"/>
              <w:textAlignment w:val="top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644656">
              <w:rPr>
                <w:rFonts w:ascii="Times New Roman" w:eastAsia="Calibri" w:hAnsi="Times New Roman" w:cs="Times New Roman"/>
                <w:sz w:val="24"/>
                <w:szCs w:val="24"/>
              </w:rPr>
              <w:t>už 202</w:t>
            </w:r>
            <w:r w:rsidR="00860B88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6446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m.</w:t>
            </w:r>
          </w:p>
        </w:tc>
      </w:tr>
    </w:tbl>
    <w:p w14:paraId="033FA0E1" w14:textId="7C974200" w:rsidR="00E76E7B" w:rsidRPr="00C21657" w:rsidRDefault="00E76E7B" w:rsidP="00973755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sz w:val="6"/>
          <w:szCs w:val="6"/>
          <w:lang w:eastAsia="lt-LT"/>
        </w:rPr>
      </w:pPr>
    </w:p>
    <w:p w14:paraId="46350F83" w14:textId="501B7E7E" w:rsidR="001A389E" w:rsidRPr="00644656" w:rsidRDefault="0011727B" w:rsidP="00973755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I. </w:t>
      </w:r>
      <w:r w:rsidRPr="00644656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202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3</w:t>
      </w:r>
      <w:r w:rsidRPr="00644656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r w:rsidR="00052C47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m</w:t>
      </w:r>
      <w:r w:rsidRPr="00644656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. </w:t>
      </w:r>
      <w:r w:rsidR="001347FE" w:rsidRPr="00644656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tobulintas veiklos kokybės aspektas</w:t>
      </w:r>
    </w:p>
    <w:tbl>
      <w:tblPr>
        <w:tblStyle w:val="Lentelstinklelis"/>
        <w:tblW w:w="9923" w:type="dxa"/>
        <w:tblInd w:w="137" w:type="dxa"/>
        <w:tblLook w:val="04A0" w:firstRow="1" w:lastRow="0" w:firstColumn="1" w:lastColumn="0" w:noHBand="0" w:noVBand="1"/>
      </w:tblPr>
      <w:tblGrid>
        <w:gridCol w:w="1838"/>
        <w:gridCol w:w="8085"/>
      </w:tblGrid>
      <w:tr w:rsidR="00124B0C" w:rsidRPr="00644656" w14:paraId="099F64A9" w14:textId="77777777" w:rsidTr="00E7231D">
        <w:tc>
          <w:tcPr>
            <w:tcW w:w="1838" w:type="dxa"/>
          </w:tcPr>
          <w:p w14:paraId="42517C6D" w14:textId="38AE53B0" w:rsidR="00124B0C" w:rsidRPr="00644656" w:rsidRDefault="00124B0C" w:rsidP="0097375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6446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Rodiklio </w:t>
            </w:r>
            <w:r w:rsidR="00CD6C13" w:rsidRPr="006446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Nr.</w:t>
            </w:r>
          </w:p>
        </w:tc>
        <w:tc>
          <w:tcPr>
            <w:tcW w:w="8085" w:type="dxa"/>
          </w:tcPr>
          <w:p w14:paraId="4B1F44CE" w14:textId="14371527" w:rsidR="00124B0C" w:rsidRPr="00644656" w:rsidRDefault="00124B0C" w:rsidP="0097375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6446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Raktin</w:t>
            </w:r>
            <w:r w:rsidR="005006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is</w:t>
            </w:r>
            <w:r w:rsidRPr="006446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žod</w:t>
            </w:r>
            <w:r w:rsidR="005006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is</w:t>
            </w:r>
            <w:r w:rsidRPr="006446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</w:t>
            </w:r>
          </w:p>
        </w:tc>
      </w:tr>
      <w:tr w:rsidR="00124B0C" w:rsidRPr="00124B0C" w14:paraId="619D860B" w14:textId="77777777" w:rsidTr="00E7231D">
        <w:tc>
          <w:tcPr>
            <w:tcW w:w="1838" w:type="dxa"/>
          </w:tcPr>
          <w:p w14:paraId="210CEC5A" w14:textId="24514B37" w:rsidR="00F71294" w:rsidRPr="00F71294" w:rsidRDefault="00124B0C" w:rsidP="00973755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4403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2.</w:t>
            </w:r>
            <w:r w:rsidR="000828D2" w:rsidRPr="004403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2</w:t>
            </w:r>
            <w:r w:rsidR="00E0033F" w:rsidRPr="004403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.</w:t>
            </w:r>
            <w:r w:rsidR="00F71294" w:rsidRPr="0064465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 xml:space="preserve"> (pagal </w:t>
            </w:r>
            <w:r w:rsidR="00F7129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rizikos</w:t>
            </w:r>
            <w:r w:rsidR="00F71294" w:rsidRPr="0064465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 xml:space="preserve"> vertinimo rodiklius)</w:t>
            </w:r>
            <w:r w:rsidR="00F7129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="00F71294" w:rsidRPr="00F712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Orientavimasis į mokinio poreikius (pastoliavimas ugdymo(</w:t>
            </w:r>
            <w:proofErr w:type="spellStart"/>
            <w:r w:rsidR="00F71294" w:rsidRPr="00F712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si</w:t>
            </w:r>
            <w:proofErr w:type="spellEnd"/>
            <w:r w:rsidR="00F71294" w:rsidRPr="00F712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) procese)</w:t>
            </w:r>
            <w:r w:rsidR="009824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.</w:t>
            </w:r>
          </w:p>
          <w:p w14:paraId="60E2FD48" w14:textId="07D3F9BD" w:rsidR="00124B0C" w:rsidRPr="00124B0C" w:rsidRDefault="00124B0C" w:rsidP="00973755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8085" w:type="dxa"/>
          </w:tcPr>
          <w:p w14:paraId="2010B878" w14:textId="77777777" w:rsidR="00F71294" w:rsidRDefault="00F71294" w:rsidP="00973755">
            <w:pPr>
              <w:spacing w:line="276" w:lineRule="auto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A3F">
              <w:rPr>
                <w:rFonts w:ascii="Times New Roman" w:eastAsia="Times New Roman" w:hAnsi="Times New Roman" w:cs="Times New Roman"/>
                <w:sz w:val="24"/>
                <w:szCs w:val="24"/>
              </w:rPr>
              <w:t>Sustiprintas nekontaktinis pastoliavimas ugdymo(</w:t>
            </w:r>
            <w:proofErr w:type="spellStart"/>
            <w:r w:rsidRPr="00301A3F">
              <w:rPr>
                <w:rFonts w:ascii="Times New Roman" w:eastAsia="Times New Roman" w:hAnsi="Times New Roman" w:cs="Times New Roman"/>
                <w:sz w:val="24"/>
                <w:szCs w:val="24"/>
              </w:rPr>
              <w:t>si</w:t>
            </w:r>
            <w:proofErr w:type="spellEnd"/>
            <w:r w:rsidRPr="00301A3F">
              <w:rPr>
                <w:rFonts w:ascii="Times New Roman" w:eastAsia="Times New Roman" w:hAnsi="Times New Roman" w:cs="Times New Roman"/>
                <w:sz w:val="24"/>
                <w:szCs w:val="24"/>
              </w:rPr>
              <w:t>) procese parenkant skirtingas priemones, padedančias išvengti galimų mokymosi kliūčių ir kuriančias bebarjerę mokymosi aplinką.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3C818D5D" w14:textId="77777777" w:rsidR="00F71294" w:rsidRDefault="00F71294" w:rsidP="00973755">
            <w:pPr>
              <w:spacing w:line="276" w:lineRule="auto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● Mokinių apklausos duomenimis:</w:t>
            </w:r>
          </w:p>
          <w:p w14:paraId="51190459" w14:textId="45E11C7A" w:rsidR="00F71294" w:rsidRDefault="00F71294" w:rsidP="00973755">
            <w:pPr>
              <w:spacing w:line="276" w:lineRule="auto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186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 teiginiu ,,</w:t>
            </w:r>
            <w:r w:rsidRPr="007F51A7">
              <w:rPr>
                <w:rFonts w:ascii="Times New Roman" w:eastAsia="Times New Roman" w:hAnsi="Times New Roman" w:cs="Times New Roman"/>
                <w:sz w:val="24"/>
                <w:szCs w:val="24"/>
              </w:rPr>
              <w:t>Mokantis pamokose mums sudaromos galimybės naudotis mokytis padedančiomis priemonėmis (formulių rinkiniais, lentelėmis, įvairiais šaltiniais, IKT, kt.)</w:t>
            </w:r>
            <w:r>
              <w:t xml:space="preserve"> </w:t>
            </w:r>
            <w:r w:rsidRPr="00B2001A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B2001A">
              <w:rPr>
                <w:rFonts w:ascii="Times New Roman" w:eastAsia="Times New Roman" w:hAnsi="Times New Roman" w:cs="Times New Roman"/>
                <w:sz w:val="24"/>
                <w:szCs w:val="24"/>
              </w:rPr>
              <w:t>is</w:t>
            </w:r>
            <w:r w:rsidRPr="007F51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iškai sutinka / ko gero, sutinka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beveik visi</w:t>
            </w:r>
            <w:r w:rsidRPr="007F51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980598">
              <w:rPr>
                <w:rFonts w:ascii="Times New Roman" w:eastAsia="Times New Roman" w:hAnsi="Times New Roman" w:cs="Times New Roman"/>
                <w:sz w:val="24"/>
                <w:szCs w:val="24"/>
              </w:rPr>
              <w:t>(96,55 proc</w:t>
            </w:r>
            <w:r w:rsidRPr="007F51A7">
              <w:rPr>
                <w:rFonts w:ascii="Times New Roman" w:eastAsia="Times New Roman" w:hAnsi="Times New Roman" w:cs="Times New Roman"/>
                <w:sz w:val="24"/>
                <w:szCs w:val="24"/>
              </w:rPr>
              <w:t>.) mokini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ai; </w:t>
            </w:r>
          </w:p>
          <w:p w14:paraId="47C8A2D2" w14:textId="634F1DD1" w:rsidR="00F71294" w:rsidRDefault="00F71294" w:rsidP="00973755">
            <w:pPr>
              <w:spacing w:line="276" w:lineRule="auto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 su teiginiu</w:t>
            </w:r>
            <w:r>
              <w:t xml:space="preserve"> ,,</w:t>
            </w:r>
            <w:r w:rsidRPr="00B2001A">
              <w:rPr>
                <w:rFonts w:ascii="Times New Roman" w:eastAsia="Times New Roman" w:hAnsi="Times New Roman" w:cs="Times New Roman"/>
                <w:sz w:val="24"/>
                <w:szCs w:val="24"/>
              </w:rPr>
              <w:t>Planuodami pamokas mokytojai numato, kokios mokymosi pagalbos mums gali prireikti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“</w:t>
            </w:r>
            <w:r>
              <w:t xml:space="preserve"> </w:t>
            </w:r>
            <w:r w:rsidRPr="00B200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visiškai sutinka / ko gero, sutinka </w:t>
            </w:r>
            <w:r w:rsidRPr="00B42B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beveik visi </w:t>
            </w:r>
            <w:r w:rsidRPr="00980598">
              <w:rPr>
                <w:rFonts w:ascii="Times New Roman" w:eastAsia="Times New Roman" w:hAnsi="Times New Roman" w:cs="Times New Roman"/>
                <w:sz w:val="24"/>
                <w:szCs w:val="24"/>
              </w:rPr>
              <w:t>(93,10proc.) mokiniai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</w:p>
          <w:p w14:paraId="771B3FFB" w14:textId="65036BBE" w:rsidR="00F71294" w:rsidRDefault="00F71294" w:rsidP="00973755">
            <w:pPr>
              <w:spacing w:line="276" w:lineRule="auto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 su teiginiu ,,</w:t>
            </w:r>
            <w:r w:rsidRPr="00B2001A">
              <w:rPr>
                <w:rFonts w:ascii="Times New Roman" w:eastAsia="Times New Roman" w:hAnsi="Times New Roman" w:cs="Times New Roman"/>
                <w:sz w:val="24"/>
                <w:szCs w:val="24"/>
              </w:rPr>
              <w:t>Mokytojai man padeda mokytis papildomai paaiškindami, pateikdami mokytis padedančių priemonių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“ </w:t>
            </w:r>
            <w:r w:rsidRPr="00B200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visiškai sutinka / ko gero, sutinka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dauguma</w:t>
            </w:r>
            <w:r w:rsidRPr="00B200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89</w:t>
            </w:r>
            <w:r w:rsidRPr="00B2001A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66</w:t>
            </w:r>
            <w:r w:rsidRPr="00B200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proc.) mokini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ų;</w:t>
            </w:r>
          </w:p>
          <w:p w14:paraId="6B727D63" w14:textId="0734AC58" w:rsidR="00F71294" w:rsidRDefault="00F71294" w:rsidP="00973755">
            <w:pPr>
              <w:spacing w:line="276" w:lineRule="auto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657C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su teiginiu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,,</w:t>
            </w:r>
            <w:r w:rsidRPr="006971A5">
              <w:rPr>
                <w:rFonts w:ascii="Times New Roman" w:eastAsia="Times New Roman" w:hAnsi="Times New Roman" w:cs="Times New Roman"/>
                <w:sz w:val="24"/>
                <w:szCs w:val="24"/>
              </w:rPr>
              <w:t>Pamokose mokytojai taiko mokymosi porose, grupėse būdus atsižvelgdami į mūsų mokymosi poreikius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“ </w:t>
            </w:r>
            <w:r w:rsidRPr="006971A5">
              <w:rPr>
                <w:rFonts w:ascii="Times New Roman" w:eastAsia="Times New Roman" w:hAnsi="Times New Roman" w:cs="Times New Roman"/>
                <w:sz w:val="24"/>
                <w:szCs w:val="24"/>
              </w:rPr>
              <w:t>visiškai sutinka / ko gero, sutinka dauguma  (8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6971A5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93</w:t>
            </w:r>
            <w:r w:rsidRPr="006971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proc.) mokinių</w:t>
            </w:r>
            <w:r w:rsidRPr="00216F04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22412CE3" w14:textId="72400FA0" w:rsidR="00F71294" w:rsidRDefault="00F71294" w:rsidP="00973755">
            <w:pPr>
              <w:spacing w:line="276" w:lineRule="auto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 su teiginiu ,,</w:t>
            </w:r>
            <w:r w:rsidRPr="00235EF4">
              <w:rPr>
                <w:rFonts w:ascii="Times New Roman" w:eastAsia="Times New Roman" w:hAnsi="Times New Roman" w:cs="Times New Roman"/>
                <w:sz w:val="24"/>
                <w:szCs w:val="24"/>
              </w:rPr>
              <w:t>Mūsų pamokose mokiniai turi galimybę patirti įvairius mokymosi būdus ir įvairias veiklas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“ </w:t>
            </w:r>
            <w:r w:rsidRPr="00235EF4">
              <w:rPr>
                <w:rFonts w:ascii="Times New Roman" w:eastAsia="Times New Roman" w:hAnsi="Times New Roman" w:cs="Times New Roman"/>
                <w:sz w:val="24"/>
                <w:szCs w:val="24"/>
              </w:rPr>
              <w:t>visiškai sutinka / ko gero, sutinka dauguma  (8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235EF4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  <w:r w:rsidRPr="00235E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proc.) mokinių;</w:t>
            </w:r>
          </w:p>
          <w:p w14:paraId="3963C5ED" w14:textId="7C80D34E" w:rsidR="00F71294" w:rsidRDefault="00F71294" w:rsidP="00973755">
            <w:pPr>
              <w:spacing w:line="276" w:lineRule="auto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</w:t>
            </w:r>
            <w:r w:rsidRPr="0018672E">
              <w:rPr>
                <w:rFonts w:ascii="Times New Roman" w:eastAsia="Times New Roman" w:hAnsi="Times New Roman" w:cs="Times New Roman"/>
                <w:sz w:val="24"/>
                <w:szCs w:val="24"/>
              </w:rPr>
              <w:t>su teiginiu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,,</w:t>
            </w:r>
            <w:r w:rsidRPr="0018672E">
              <w:rPr>
                <w:rFonts w:ascii="Times New Roman" w:eastAsia="Times New Roman" w:hAnsi="Times New Roman" w:cs="Times New Roman"/>
                <w:sz w:val="24"/>
                <w:szCs w:val="24"/>
              </w:rPr>
              <w:t>Pamokose kiekvienam sudaromos sąlygos mokytis pagal jo gebėjimus ir patirti sėkmę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“ </w:t>
            </w:r>
            <w:r w:rsidRPr="0018672E">
              <w:rPr>
                <w:rFonts w:ascii="Times New Roman" w:eastAsia="Times New Roman" w:hAnsi="Times New Roman" w:cs="Times New Roman"/>
                <w:sz w:val="24"/>
                <w:szCs w:val="24"/>
              </w:rPr>
              <w:t>visiškai sutinka / ko gero, sutinka dauguma  (81,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  <w:r w:rsidRPr="001867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proc.) mokinių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3ACD72F" w14:textId="77777777" w:rsidR="00F71294" w:rsidRDefault="00F71294" w:rsidP="00973755">
            <w:pPr>
              <w:spacing w:line="276" w:lineRule="auto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● </w:t>
            </w:r>
            <w:r w:rsidRPr="00037C0B">
              <w:rPr>
                <w:rFonts w:ascii="Times New Roman" w:eastAsia="Times New Roman" w:hAnsi="Times New Roman" w:cs="Times New Roman"/>
                <w:sz w:val="24"/>
                <w:szCs w:val="24"/>
              </w:rPr>
              <w:t>Pokalbi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Pr="00037C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su mokinių klasių atstovais ir Mokinių parlamento nariais patvirtino informaciją, kad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58C807DB" w14:textId="77777777" w:rsidR="00F71294" w:rsidRDefault="00F71294" w:rsidP="00973755">
            <w:pPr>
              <w:spacing w:line="276" w:lineRule="auto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</w:t>
            </w:r>
            <w:r w:rsidRPr="00037C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pamokose mokytojai leidžia klysti, taisyti klaidas,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teikia</w:t>
            </w:r>
            <w:r w:rsidRPr="00037C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mokymo(</w:t>
            </w:r>
            <w:proofErr w:type="spellStart"/>
            <w:r w:rsidRPr="00037C0B">
              <w:rPr>
                <w:rFonts w:ascii="Times New Roman" w:eastAsia="Times New Roman" w:hAnsi="Times New Roman" w:cs="Times New Roman"/>
                <w:sz w:val="24"/>
                <w:szCs w:val="24"/>
              </w:rPr>
              <w:t>si</w:t>
            </w:r>
            <w:proofErr w:type="spellEnd"/>
            <w:r w:rsidRPr="00037C0B">
              <w:rPr>
                <w:rFonts w:ascii="Times New Roman" w:eastAsia="Times New Roman" w:hAnsi="Times New Roman" w:cs="Times New Roman"/>
                <w:sz w:val="24"/>
                <w:szCs w:val="24"/>
              </w:rPr>
              <w:t>) pagalb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ą</w:t>
            </w:r>
            <w:r w:rsidRPr="00037C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po pamokų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0CE237F9" w14:textId="44B0E6F9" w:rsidR="00F71294" w:rsidRDefault="00F71294" w:rsidP="00973755">
            <w:pPr>
              <w:spacing w:line="276" w:lineRule="auto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</w:t>
            </w:r>
            <w:r w:rsidRPr="00037C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pamokose mokytojai naudoja ne tik vadovėlio medžiagą, bet ir </w:t>
            </w:r>
            <w:r w:rsidR="002654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kitas priemones,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šaltinius bei </w:t>
            </w:r>
            <w:r w:rsidRPr="00037C0B">
              <w:rPr>
                <w:rFonts w:ascii="Times New Roman" w:eastAsia="Times New Roman" w:hAnsi="Times New Roman" w:cs="Times New Roman"/>
                <w:sz w:val="24"/>
                <w:szCs w:val="24"/>
              </w:rPr>
              <w:t>virtualias mokymosi aplinkas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F1B9E86" w14:textId="5D8A1602" w:rsidR="00F71294" w:rsidRPr="00124B0C" w:rsidRDefault="00F71294" w:rsidP="00973755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● P</w:t>
            </w:r>
            <w:r w:rsidRPr="00FF37FA">
              <w:rPr>
                <w:rFonts w:ascii="Times New Roman" w:eastAsia="Times New Roman" w:hAnsi="Times New Roman" w:cs="Times New Roman"/>
                <w:sz w:val="24"/>
                <w:szCs w:val="24"/>
              </w:rPr>
              <w:t>asiekimų ūgties stebėjimo kryptingum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ui, mokymosi praradimų kompensavimui ir individualios pažangos stiprinimui </w:t>
            </w:r>
            <w:r w:rsidRPr="00A81C55">
              <w:rPr>
                <w:rFonts w:ascii="Times New Roman" w:eastAsia="Times New Roman" w:hAnsi="Times New Roman" w:cs="Times New Roman"/>
                <w:sz w:val="24"/>
                <w:szCs w:val="24"/>
              </w:rPr>
              <w:t>tikslin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ei</w:t>
            </w:r>
            <w:r w:rsidRPr="00A81C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mokinių grup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ei</w:t>
            </w:r>
            <w:r w:rsidRPr="00A81C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taikytas</w:t>
            </w:r>
            <w:r w:rsidRPr="00A81C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,,Mokinio individualių praradimų kompensavimo plan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as</w:t>
            </w:r>
            <w:r w:rsidRPr="00A81C55">
              <w:rPr>
                <w:rFonts w:ascii="Times New Roman" w:eastAsia="Times New Roman" w:hAnsi="Times New Roman" w:cs="Times New Roman"/>
                <w:sz w:val="24"/>
                <w:szCs w:val="24"/>
              </w:rPr>
              <w:t>“ (IPKP).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C2B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100 proc. mokinių, su kuriais buvo planuotas praradimų kompensavimas ir pasiekimų gerinimas, padarė bent minimalią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8A4679">
              <w:rPr>
                <w:rFonts w:ascii="Times New Roman" w:eastAsia="Times New Roman" w:hAnsi="Times New Roman" w:cs="Times New Roman"/>
                <w:sz w:val="24"/>
                <w:szCs w:val="24"/>
              </w:rPr>
              <w:t>įvertinimas pakilo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Pr="008A46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C2B78">
              <w:rPr>
                <w:rFonts w:ascii="Times New Roman" w:eastAsia="Times New Roman" w:hAnsi="Times New Roman" w:cs="Times New Roman"/>
                <w:sz w:val="24"/>
                <w:szCs w:val="24"/>
              </w:rPr>
              <w:t>ar didesnę pažangą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Pr="00BC2B78">
              <w:rPr>
                <w:rFonts w:ascii="Times New Roman" w:eastAsia="Times New Roman" w:hAnsi="Times New Roman" w:cs="Times New Roman"/>
                <w:sz w:val="24"/>
                <w:szCs w:val="24"/>
              </w:rPr>
              <w:t>perėjo į aukštesnį pasiekimų lygį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Pr="00BC2B7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4E66D56F" w14:textId="77777777" w:rsidR="00767C45" w:rsidRDefault="00767C45" w:rsidP="00973755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14:paraId="64773161" w14:textId="3CFCEEED" w:rsidR="0011727B" w:rsidRDefault="0011727B" w:rsidP="00973755">
      <w:pPr>
        <w:spacing w:line="276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14A9C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lastRenderedPageBreak/>
        <w:t xml:space="preserve">II. </w:t>
      </w:r>
      <w:r w:rsidRPr="00644656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MOKYKLOS PAŽANGA</w:t>
      </w:r>
      <w:r w:rsidRPr="0064465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1838"/>
        <w:gridCol w:w="8357"/>
      </w:tblGrid>
      <w:tr w:rsidR="00276563" w14:paraId="1DA773FB" w14:textId="77777777" w:rsidTr="00D417E8">
        <w:tc>
          <w:tcPr>
            <w:tcW w:w="1838" w:type="dxa"/>
          </w:tcPr>
          <w:p w14:paraId="2988D622" w14:textId="0FCE51C3" w:rsidR="00276563" w:rsidRPr="00276563" w:rsidRDefault="00276563" w:rsidP="00973755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2765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1. Projekto ,,Kokybės krepšelis“ MVTP priemonių poveikio mokyklos pažangai  (įsi)vertinimas</w:t>
            </w:r>
            <w:r w:rsidR="00D825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.</w:t>
            </w:r>
          </w:p>
          <w:p w14:paraId="485E062F" w14:textId="77777777" w:rsidR="00276563" w:rsidRDefault="00276563" w:rsidP="0097375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57" w:type="dxa"/>
          </w:tcPr>
          <w:p w14:paraId="131B4AAD" w14:textId="232B244A" w:rsidR="00033742" w:rsidRDefault="00033742" w:rsidP="0097375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● </w:t>
            </w:r>
            <w:r w:rsidRPr="000337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Fiksuotas mokinių akademinių pasiekimų numatytų ,,Kokybės krepšelio” projekto MVTP vertinimo lygmuo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0337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D538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„pasiektas“</w:t>
            </w:r>
            <w:r w:rsidRPr="00AD538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91BF835" w14:textId="72D73E02" w:rsidR="009C2BD4" w:rsidRDefault="009C2BD4" w:rsidP="0097375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● T</w:t>
            </w:r>
            <w:r w:rsidRPr="009C2BD4">
              <w:rPr>
                <w:rFonts w:ascii="Times New Roman" w:eastAsia="Times New Roman" w:hAnsi="Times New Roman" w:cs="Times New Roman"/>
                <w:sz w:val="24"/>
                <w:szCs w:val="24"/>
              </w:rPr>
              <w:t>inkamai įgyvendintos visos (100 proc.) projekto „Kokybės krepšelis“ MVTP veiklos ir priemonės.</w:t>
            </w:r>
          </w:p>
          <w:p w14:paraId="0925E9D4" w14:textId="0A2E2B82" w:rsidR="00C4232D" w:rsidRDefault="00E30184" w:rsidP="0097375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● </w:t>
            </w:r>
            <w:r w:rsidR="00C423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Viršytas bendras 2023 m. </w:t>
            </w:r>
            <w:r w:rsidR="00C827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galutinio </w:t>
            </w:r>
            <w:r w:rsidR="00C423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kokybinio projekto rodiklio </w:t>
            </w:r>
            <w:r w:rsidR="00C827D3">
              <w:rPr>
                <w:rFonts w:ascii="Times New Roman" w:eastAsia="Times New Roman" w:hAnsi="Times New Roman" w:cs="Times New Roman"/>
                <w:sz w:val="24"/>
                <w:szCs w:val="24"/>
              </w:rPr>
              <w:t>laukiamas rezultatas (pasiekta – 70,24 proc., lūkestis – 63,64).</w:t>
            </w:r>
          </w:p>
          <w:p w14:paraId="02D24674" w14:textId="77777777" w:rsidR="00AD5383" w:rsidRDefault="00AD5383" w:rsidP="0097375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● Aukštas</w:t>
            </w:r>
            <w:r w:rsidRPr="00F97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pamokų vertinimo vidurk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is vertinant pagal</w:t>
            </w:r>
            <w:r w:rsidRPr="008B63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šiuolaikiško ugdymo paradigmos raišk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ą</w:t>
            </w:r>
            <w:r w:rsidRPr="008B63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pamokoje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B</w:t>
            </w:r>
            <w:r w:rsidRPr="00F9761A">
              <w:rPr>
                <w:rFonts w:ascii="Times New Roman" w:eastAsia="Times New Roman" w:hAnsi="Times New Roman" w:cs="Times New Roman"/>
                <w:sz w:val="24"/>
                <w:szCs w:val="24"/>
              </w:rPr>
              <w:t>endras stebėtų pamokų vertinimo vidurkis – 3,66.</w:t>
            </w:r>
          </w:p>
          <w:p w14:paraId="4F205A37" w14:textId="18567456" w:rsidR="00E30184" w:rsidRDefault="00AD5383" w:rsidP="0097375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● 95 proc. pamokų atitinkančių šiuolaikiško ir bandymo dirbti šiuolaikiškai požymius (atitinkamai –</w:t>
            </w:r>
            <w:r w:rsidRPr="00F97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45,0 proc.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ir </w:t>
            </w:r>
            <w:r w:rsidRPr="00F97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50,0 proc. pamokų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). </w:t>
            </w:r>
          </w:p>
          <w:p w14:paraId="5A202139" w14:textId="36F40C9C" w:rsidR="00276563" w:rsidRPr="00E621BB" w:rsidRDefault="00276563" w:rsidP="0097375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C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● </w:t>
            </w:r>
            <w:r w:rsidR="00CD5CFD" w:rsidRPr="00CD5CFD">
              <w:rPr>
                <w:rFonts w:ascii="Times New Roman" w:eastAsia="Times New Roman" w:hAnsi="Times New Roman" w:cs="Times New Roman"/>
                <w:sz w:val="24"/>
                <w:szCs w:val="24"/>
              </w:rPr>
              <w:t>IV kl. baigiančių mokinių globalios kompetencijos lygmuo</w:t>
            </w:r>
            <w:r w:rsidR="00A336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r w:rsidR="00A3368C" w:rsidRPr="00A3368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,,</w:t>
            </w:r>
            <w:r w:rsidR="0096710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veiksmingas</w:t>
            </w:r>
            <w:r w:rsidR="00A3368C" w:rsidRPr="00A3368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“</w:t>
            </w:r>
            <w:r w:rsidR="00A336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(pagal aprašomuosius veiklos kokybės vertinimus).</w:t>
            </w:r>
          </w:p>
        </w:tc>
      </w:tr>
      <w:tr w:rsidR="00137C3D" w14:paraId="285749C8" w14:textId="77777777" w:rsidTr="00D417E8">
        <w:tc>
          <w:tcPr>
            <w:tcW w:w="1838" w:type="dxa"/>
          </w:tcPr>
          <w:p w14:paraId="367A0F64" w14:textId="23C1AB24" w:rsidR="00137C3D" w:rsidRPr="00137C3D" w:rsidRDefault="00137C3D" w:rsidP="00973755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37C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2. </w:t>
            </w:r>
            <w:r w:rsidR="00A325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Gimnazijos</w:t>
            </w:r>
            <w:r w:rsidR="009941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indėlio </w:t>
            </w:r>
            <w:r w:rsidR="00887C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į </w:t>
            </w:r>
            <w:r w:rsidR="009941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mokinių pasiekim</w:t>
            </w:r>
            <w:r w:rsidR="00887C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us </w:t>
            </w:r>
            <w:r w:rsidR="00C40C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(</w:t>
            </w:r>
            <w:r w:rsidR="009941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įsi</w:t>
            </w:r>
            <w:r w:rsidR="00C40C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)</w:t>
            </w:r>
            <w:r w:rsidR="009941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vertinimas</w:t>
            </w:r>
            <w:r w:rsidR="00D825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8357" w:type="dxa"/>
          </w:tcPr>
          <w:p w14:paraId="3B4F76D6" w14:textId="4C7FBB67" w:rsidR="0059028A" w:rsidRPr="0059028A" w:rsidRDefault="0059028A" w:rsidP="0097375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● </w:t>
            </w:r>
            <w:r w:rsidRPr="0059028A">
              <w:rPr>
                <w:rFonts w:ascii="Times New Roman" w:eastAsia="Times New Roman" w:hAnsi="Times New Roman" w:cs="Times New Roman"/>
                <w:sz w:val="24"/>
                <w:szCs w:val="24"/>
              </w:rPr>
              <w:t>VBE apibendrintų rezultatų standartizuotais taškais lygmuo</w:t>
            </w:r>
            <w:r w:rsidR="00A325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r w:rsidRPr="0059028A">
              <w:rPr>
                <w:rFonts w:ascii="Times New Roman" w:eastAsia="Times New Roman" w:hAnsi="Times New Roman" w:cs="Times New Roman"/>
                <w:sz w:val="24"/>
                <w:szCs w:val="24"/>
              </w:rPr>
              <w:t>0,51</w:t>
            </w:r>
            <w:r w:rsidR="00A325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Pr="005902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šalies vidurkis </w:t>
            </w:r>
            <w:r w:rsidR="00A325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</w:t>
            </w:r>
            <w:r w:rsidRPr="0059028A">
              <w:rPr>
                <w:rFonts w:ascii="Times New Roman" w:eastAsia="Times New Roman" w:hAnsi="Times New Roman" w:cs="Times New Roman"/>
                <w:sz w:val="24"/>
                <w:szCs w:val="24"/>
              </w:rPr>
              <w:t>0,00 (laukiamas rezultatas – lygmuo ne žemesnis nei šalies mokyklų rezultatų vidurkis</w:t>
            </w:r>
            <w:r w:rsidR="00A32536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Pr="0059028A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  <w:r w:rsidR="00A325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VBE</w:t>
            </w:r>
            <w:r w:rsidRPr="005902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apibendrintas rezultatų standartizuotais taškais lygmuo 27 proc. aukštesnis nei šalies vidurkis.</w:t>
            </w:r>
          </w:p>
          <w:p w14:paraId="728EC0E3" w14:textId="0B6BFFFC" w:rsidR="0059028A" w:rsidRPr="0059028A" w:rsidRDefault="00A32536" w:rsidP="0097375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● </w:t>
            </w:r>
            <w:r w:rsidR="0059028A" w:rsidRPr="0059028A">
              <w:rPr>
                <w:rFonts w:ascii="Times New Roman" w:eastAsia="Times New Roman" w:hAnsi="Times New Roman" w:cs="Times New Roman"/>
                <w:sz w:val="24"/>
                <w:szCs w:val="24"/>
              </w:rPr>
              <w:t>Bendras VBE balų vidurkis 45,3 balai (šalies vidurkis 43,7 balai (laukiamas rezultatas – gimnazijos vidurkis ne mažesnis už šalies vidurkį)).</w:t>
            </w:r>
          </w:p>
          <w:p w14:paraId="698AB9CD" w14:textId="53C82FCA" w:rsidR="0059028A" w:rsidRPr="0059028A" w:rsidRDefault="00A32536" w:rsidP="0097375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● </w:t>
            </w:r>
            <w:r w:rsidR="0059028A" w:rsidRPr="0059028A">
              <w:rPr>
                <w:rFonts w:ascii="Times New Roman" w:eastAsia="Times New Roman" w:hAnsi="Times New Roman" w:cs="Times New Roman"/>
                <w:sz w:val="24"/>
                <w:szCs w:val="24"/>
              </w:rPr>
              <w:t>Išlaikytų pasirinktų VBE dalis - 96,81 balai (šalies vidurkis 94,73 balai (laukiamas rezultatas – ne mažesnė dalis už šalies mokinių išlaikytų pasirinktų egzaminų dalį)).</w:t>
            </w:r>
          </w:p>
          <w:p w14:paraId="0A06D8B3" w14:textId="452D9892" w:rsidR="0059028A" w:rsidRPr="0059028A" w:rsidRDefault="006535F6" w:rsidP="0097375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● </w:t>
            </w:r>
            <w:r w:rsidR="0059028A" w:rsidRPr="005902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PUPP bent pagrindinį pasiekimų lygį pasiekusių mokinių dalis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="0059028A" w:rsidRPr="005902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77 proc. (laukiamas rezultatas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ne mažiau</w:t>
            </w:r>
            <w:r w:rsidR="0059028A" w:rsidRPr="005902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nei 27 proc.).</w:t>
            </w:r>
          </w:p>
          <w:p w14:paraId="43B3FBBB" w14:textId="36A75F37" w:rsidR="0059028A" w:rsidRPr="0059028A" w:rsidRDefault="003D0D17" w:rsidP="0097375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● </w:t>
            </w:r>
            <w:r w:rsidR="0059028A" w:rsidRPr="005902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ir daugiau valstybinius egzaminus išlaikiusių mokinių dalis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</w:t>
            </w:r>
            <w:r w:rsidR="0059028A" w:rsidRPr="0059028A">
              <w:rPr>
                <w:rFonts w:ascii="Times New Roman" w:eastAsia="Times New Roman" w:hAnsi="Times New Roman" w:cs="Times New Roman"/>
                <w:sz w:val="24"/>
                <w:szCs w:val="24"/>
              </w:rPr>
              <w:t>77,5 proc. (laukiamas rezultatas – 3 ir daugiau egzamin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ų</w:t>
            </w:r>
            <w:r w:rsidR="0059028A" w:rsidRPr="005902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išlaikiusi dalis ne mažesnė kaip 71 proc.).</w:t>
            </w:r>
          </w:p>
          <w:p w14:paraId="6B7C996E" w14:textId="7280B497" w:rsidR="00D521BD" w:rsidRDefault="0059028A" w:rsidP="0097375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● </w:t>
            </w:r>
            <w:r w:rsidR="00D521BD" w:rsidRPr="00D521BD">
              <w:rPr>
                <w:rFonts w:ascii="Times New Roman" w:eastAsia="Times New Roman" w:hAnsi="Times New Roman" w:cs="Times New Roman"/>
                <w:sz w:val="24"/>
                <w:szCs w:val="24"/>
              </w:rPr>
              <w:t>Daugumos VBE balų vidurkiai yra aukštesni nei balų vidurkiai šalyje.</w:t>
            </w:r>
          </w:p>
          <w:p w14:paraId="0C6E2DD6" w14:textId="2A73A86D" w:rsidR="00D521BD" w:rsidRPr="00D521BD" w:rsidRDefault="00D521BD" w:rsidP="0097375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● </w:t>
            </w:r>
            <w:r w:rsidRPr="00D521BD">
              <w:rPr>
                <w:rFonts w:ascii="Times New Roman" w:eastAsia="Times New Roman" w:hAnsi="Times New Roman" w:cs="Times New Roman"/>
                <w:sz w:val="24"/>
                <w:szCs w:val="24"/>
              </w:rPr>
              <w:t>Bendras visų dalykų VBE balų vidurkis aukštesnis už šalies balų vidurkį (2023 m. šalyje – 43,77 proc., gimnazijoje – 45,31 proc.).</w:t>
            </w:r>
          </w:p>
          <w:p w14:paraId="79E11C0B" w14:textId="586082AE" w:rsidR="00D521BD" w:rsidRPr="00D521BD" w:rsidRDefault="00D521BD" w:rsidP="0097375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● </w:t>
            </w:r>
            <w:r w:rsidRPr="00D521BD">
              <w:rPr>
                <w:rFonts w:ascii="Times New Roman" w:eastAsia="Times New Roman" w:hAnsi="Times New Roman" w:cs="Times New Roman"/>
                <w:sz w:val="24"/>
                <w:szCs w:val="24"/>
              </w:rPr>
              <w:t>Lietuvių k. ir literatūros bei matematikos PUPP balų vidurkiai yra aukštesni nei šalyje.</w:t>
            </w:r>
          </w:p>
          <w:p w14:paraId="4BFDBFC4" w14:textId="616E8BE7" w:rsidR="00D521BD" w:rsidRPr="00D521BD" w:rsidRDefault="00D521BD" w:rsidP="0097375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● </w:t>
            </w:r>
            <w:r w:rsidRPr="00D521BD">
              <w:rPr>
                <w:rFonts w:ascii="Times New Roman" w:eastAsia="Times New Roman" w:hAnsi="Times New Roman" w:cs="Times New Roman"/>
                <w:sz w:val="24"/>
                <w:szCs w:val="24"/>
              </w:rPr>
              <w:t>Padidėjo matematikos PUPP pagrindinį ir aukštesnįjį pasiekimų lygį pasiekusių mokinių dalis nuo 10,42 proc. (2022 m.) iki 52,8 proc. (2023 m.).</w:t>
            </w:r>
          </w:p>
          <w:p w14:paraId="03AD3F05" w14:textId="67E31CAC" w:rsidR="00137C3D" w:rsidRPr="00313F34" w:rsidRDefault="00D521BD" w:rsidP="0097375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● </w:t>
            </w:r>
            <w:r w:rsidRPr="00D521BD">
              <w:rPr>
                <w:rFonts w:ascii="Times New Roman" w:eastAsia="Times New Roman" w:hAnsi="Times New Roman" w:cs="Times New Roman"/>
                <w:sz w:val="24"/>
                <w:szCs w:val="24"/>
              </w:rPr>
              <w:t>Padidėjo lietuvių k. ir literatūros PUPP pagrindinį ir aukštesnįjį pasiekimų lygį pasiekusių mokinių dalis nuo 65,6 proc. (2022 m.) iki 92,1 proc. (2023 m.).</w:t>
            </w:r>
          </w:p>
        </w:tc>
      </w:tr>
      <w:tr w:rsidR="006535F6" w14:paraId="60B66F66" w14:textId="77777777" w:rsidTr="00D417E8">
        <w:tc>
          <w:tcPr>
            <w:tcW w:w="1838" w:type="dxa"/>
          </w:tcPr>
          <w:p w14:paraId="40CEFA25" w14:textId="6FFF5EB0" w:rsidR="006535F6" w:rsidRDefault="006535F6" w:rsidP="000A2CF9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Pedagoginės bendruomenės indėlio </w:t>
            </w:r>
            <w:r w:rsidR="00887C1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į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mokinių pasieki</w:t>
            </w:r>
            <w:r w:rsidR="00887C1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mus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(įsi)vertinimas</w:t>
            </w:r>
            <w:r w:rsidR="00D8259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8357" w:type="dxa"/>
          </w:tcPr>
          <w:p w14:paraId="3D385009" w14:textId="0FD38D4B" w:rsidR="009C2BD4" w:rsidRPr="00210822" w:rsidRDefault="009C2BD4" w:rsidP="0021082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0822">
              <w:rPr>
                <w:rFonts w:ascii="Times New Roman" w:eastAsia="Times New Roman" w:hAnsi="Times New Roman" w:cs="Times New Roman"/>
                <w:sz w:val="24"/>
                <w:szCs w:val="24"/>
              </w:rPr>
              <w:t>● Dauguma mokytojų savo 2023 metų profesinę veiklą bei profesinio kapitalo raišką užtikrinant indėlį mokinių pasiekimams įsivertino gerai ir labai gerai</w:t>
            </w:r>
            <w:r w:rsidR="0080385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13A6FB1" w14:textId="4A96ED3B" w:rsidR="005F1C10" w:rsidRPr="00210822" w:rsidRDefault="005F1C10" w:rsidP="0021082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08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● Daugumoje (81 proc.) I ir III klasių pamokų uždaviniai tinkamai siejami su atnaujintų programų pasiekimo lygmens vertinimo </w:t>
            </w:r>
            <w:r w:rsidR="00AE5FBF" w:rsidRPr="00210822">
              <w:rPr>
                <w:rFonts w:ascii="Times New Roman" w:eastAsia="Times New Roman" w:hAnsi="Times New Roman" w:cs="Times New Roman"/>
                <w:sz w:val="24"/>
                <w:szCs w:val="24"/>
              </w:rPr>
              <w:t>kriterijais</w:t>
            </w:r>
            <w:r w:rsidRPr="0021082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8959AB0" w14:textId="21E5239A" w:rsidR="006535F6" w:rsidRPr="00210822" w:rsidRDefault="006535F6" w:rsidP="0021082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0822">
              <w:rPr>
                <w:rFonts w:ascii="Times New Roman" w:eastAsia="Times New Roman" w:hAnsi="Times New Roman" w:cs="Times New Roman"/>
                <w:sz w:val="24"/>
                <w:szCs w:val="24"/>
              </w:rPr>
              <w:t>●</w:t>
            </w:r>
            <w:r w:rsidR="00E7231D" w:rsidRPr="002108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Mokinių pasiekimų ir pažangos ataskaitų duomenimis:</w:t>
            </w:r>
          </w:p>
          <w:p w14:paraId="7F602D82" w14:textId="147D0045" w:rsidR="00210822" w:rsidRDefault="00210822" w:rsidP="00210822">
            <w:pPr>
              <w:spacing w:line="276" w:lineRule="auto"/>
              <w:contextualSpacing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lt-LT"/>
              </w:rPr>
            </w:pPr>
            <w:r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lt-LT"/>
              </w:rPr>
              <w:t>–</w:t>
            </w:r>
            <w:r w:rsidR="009D15D5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lt-LT"/>
              </w:rPr>
              <w:t xml:space="preserve"> </w:t>
            </w:r>
            <w:r w:rsidRPr="00210822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lt-LT"/>
              </w:rPr>
              <w:t>2022</w:t>
            </w:r>
            <w:r w:rsidR="002E2CE6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lt-LT"/>
              </w:rPr>
              <w:t>–</w:t>
            </w:r>
            <w:r w:rsidRPr="00210822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lt-LT"/>
              </w:rPr>
              <w:t>2023 m. m</w:t>
            </w:r>
            <w:r w:rsidRPr="00210822">
              <w:rPr>
                <w:rFonts w:ascii="Times New Roman" w:eastAsia="+mn-ea" w:hAnsi="Times New Roman" w:cs="Times New Roman"/>
                <w:color w:val="000000" w:themeColor="text1"/>
                <w:kern w:val="24"/>
                <w:sz w:val="24"/>
                <w:szCs w:val="24"/>
                <w:lang w:eastAsia="lt-LT"/>
              </w:rPr>
              <w:t xml:space="preserve">. </w:t>
            </w:r>
            <w:r w:rsidR="009D15D5" w:rsidRPr="002019BD">
              <w:rPr>
                <w:rFonts w:ascii="Times New Roman" w:eastAsia="+mn-ea" w:hAnsi="Times New Roman" w:cs="Times New Roman"/>
                <w:color w:val="000000" w:themeColor="text1"/>
                <w:kern w:val="24"/>
                <w:sz w:val="24"/>
                <w:szCs w:val="24"/>
                <w:lang w:eastAsia="lt-LT"/>
              </w:rPr>
              <w:t xml:space="preserve">dauguma </w:t>
            </w:r>
            <w:r w:rsidR="009D15D5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lt-LT"/>
              </w:rPr>
              <w:t>(</w:t>
            </w:r>
            <w:r w:rsidR="002019BD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lt-LT"/>
              </w:rPr>
              <w:t>7</w:t>
            </w:r>
            <w:r w:rsidR="00D81E75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lt-LT"/>
              </w:rPr>
              <w:t>0</w:t>
            </w:r>
            <w:r w:rsidR="002019BD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lt-LT"/>
              </w:rPr>
              <w:t>,</w:t>
            </w:r>
            <w:r w:rsidR="00D81E75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lt-LT"/>
              </w:rPr>
              <w:t>37</w:t>
            </w:r>
            <w:r w:rsidR="009D15D5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lt-LT"/>
              </w:rPr>
              <w:t xml:space="preserve"> proc.) </w:t>
            </w:r>
            <w:r w:rsidRPr="00210822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lt-LT"/>
              </w:rPr>
              <w:t>I, II ir IV klasėje mokytų mokinių padar</w:t>
            </w:r>
            <w:r w:rsidR="009D15D5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lt-LT"/>
              </w:rPr>
              <w:t>ė</w:t>
            </w:r>
            <w:r w:rsidRPr="00210822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lt-LT"/>
              </w:rPr>
              <w:t xml:space="preserve"> pažangą </w:t>
            </w:r>
            <w:r w:rsidR="009D15D5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lt-LT"/>
              </w:rPr>
              <w:t xml:space="preserve"> – </w:t>
            </w:r>
            <w:r w:rsidRPr="00210822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lt-LT"/>
              </w:rPr>
              <w:t>metinio įvertinimo pažymys ne mažesnis už praėjusių metų metinio įvertinimo pažymį</w:t>
            </w:r>
            <w:r w:rsidR="009D15D5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lt-LT"/>
              </w:rPr>
              <w:t>;</w:t>
            </w:r>
          </w:p>
          <w:p w14:paraId="6CC1832C" w14:textId="05AA1E5D" w:rsidR="00210822" w:rsidRPr="00210822" w:rsidRDefault="00210822" w:rsidP="00210822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lt-LT"/>
              </w:rPr>
              <w:t xml:space="preserve">– </w:t>
            </w:r>
            <w:r w:rsidRPr="00210822">
              <w:rPr>
                <w:rFonts w:ascii="Times New Roman" w:eastAsia="+mn-ea" w:hAnsi="Times New Roman" w:cs="Times New Roman"/>
                <w:color w:val="000000" w:themeColor="text1"/>
                <w:kern w:val="24"/>
                <w:sz w:val="24"/>
                <w:szCs w:val="24"/>
                <w:lang w:eastAsia="lt-LT"/>
              </w:rPr>
              <w:t>ne žemesnį pasiekimų lygmenį PUPP</w:t>
            </w:r>
            <w:r w:rsidR="00EE6AF3" w:rsidRPr="0023195A">
              <w:rPr>
                <w:rFonts w:ascii="Times New Roman" w:eastAsia="+mn-ea" w:hAnsi="Times New Roman" w:cs="Times New Roman"/>
                <w:color w:val="000000" w:themeColor="text1"/>
                <w:kern w:val="24"/>
                <w:sz w:val="24"/>
                <w:szCs w:val="24"/>
                <w:lang w:eastAsia="lt-LT"/>
              </w:rPr>
              <w:t xml:space="preserve"> </w:t>
            </w:r>
            <w:r w:rsidRPr="00210822">
              <w:rPr>
                <w:rFonts w:ascii="Times New Roman" w:eastAsia="+mn-ea" w:hAnsi="Times New Roman" w:cs="Times New Roman"/>
                <w:color w:val="000000" w:themeColor="text1"/>
                <w:kern w:val="24"/>
                <w:sz w:val="24"/>
                <w:szCs w:val="24"/>
                <w:lang w:eastAsia="lt-LT"/>
              </w:rPr>
              <w:t>nei turėtą II kl. metinį įvertinimą išlaik</w:t>
            </w:r>
            <w:r w:rsidR="00EE6AF3" w:rsidRPr="0023195A">
              <w:rPr>
                <w:rFonts w:ascii="Times New Roman" w:eastAsia="+mn-ea" w:hAnsi="Times New Roman" w:cs="Times New Roman"/>
                <w:color w:val="000000" w:themeColor="text1"/>
                <w:kern w:val="24"/>
                <w:sz w:val="24"/>
                <w:szCs w:val="24"/>
                <w:lang w:eastAsia="lt-LT"/>
              </w:rPr>
              <w:t>ė</w:t>
            </w:r>
            <w:r w:rsidRPr="00210822">
              <w:rPr>
                <w:rFonts w:ascii="Times New Roman" w:eastAsia="+mn-ea" w:hAnsi="Times New Roman" w:cs="Times New Roman"/>
                <w:color w:val="000000" w:themeColor="text1"/>
                <w:kern w:val="24"/>
                <w:sz w:val="24"/>
                <w:szCs w:val="24"/>
                <w:lang w:eastAsia="lt-LT"/>
              </w:rPr>
              <w:t xml:space="preserve"> </w:t>
            </w:r>
            <w:r w:rsidR="00EE6AF3" w:rsidRPr="0023195A">
              <w:rPr>
                <w:rFonts w:ascii="Times New Roman" w:eastAsia="+mn-ea" w:hAnsi="Times New Roman" w:cs="Times New Roman"/>
                <w:color w:val="000000" w:themeColor="text1"/>
                <w:kern w:val="24"/>
                <w:sz w:val="24"/>
                <w:szCs w:val="24"/>
                <w:lang w:eastAsia="lt-LT"/>
              </w:rPr>
              <w:t>dauguma (</w:t>
            </w:r>
            <w:r w:rsidR="00D81E75" w:rsidRPr="0023195A">
              <w:rPr>
                <w:rFonts w:ascii="Times New Roman" w:eastAsia="+mn-ea" w:hAnsi="Times New Roman" w:cs="Times New Roman"/>
                <w:color w:val="000000" w:themeColor="text1"/>
                <w:kern w:val="24"/>
                <w:sz w:val="24"/>
                <w:szCs w:val="24"/>
                <w:lang w:eastAsia="lt-LT"/>
              </w:rPr>
              <w:t xml:space="preserve">77,53 </w:t>
            </w:r>
            <w:r w:rsidR="00EE6AF3" w:rsidRPr="0023195A">
              <w:rPr>
                <w:rFonts w:ascii="Times New Roman" w:eastAsia="+mn-ea" w:hAnsi="Times New Roman" w:cs="Times New Roman"/>
                <w:color w:val="000000" w:themeColor="text1"/>
                <w:kern w:val="24"/>
                <w:sz w:val="24"/>
                <w:szCs w:val="24"/>
                <w:lang w:eastAsia="lt-LT"/>
              </w:rPr>
              <w:t xml:space="preserve">proc.) </w:t>
            </w:r>
            <w:r w:rsidRPr="00210822">
              <w:rPr>
                <w:rFonts w:ascii="Times New Roman" w:eastAsia="+mn-ea" w:hAnsi="Times New Roman" w:cs="Times New Roman"/>
                <w:color w:val="000000" w:themeColor="text1"/>
                <w:kern w:val="24"/>
                <w:sz w:val="24"/>
                <w:szCs w:val="24"/>
                <w:lang w:eastAsia="lt-LT"/>
              </w:rPr>
              <w:t>II kl. mokinių</w:t>
            </w:r>
            <w:r w:rsidR="00EE6AF3" w:rsidRPr="0023195A">
              <w:rPr>
                <w:rFonts w:ascii="Times New Roman" w:eastAsia="+mn-ea" w:hAnsi="Times New Roman" w:cs="Times New Roman"/>
                <w:color w:val="000000" w:themeColor="text1"/>
                <w:kern w:val="24"/>
                <w:sz w:val="24"/>
                <w:szCs w:val="24"/>
                <w:lang w:eastAsia="lt-LT"/>
              </w:rPr>
              <w:t>;</w:t>
            </w:r>
          </w:p>
          <w:p w14:paraId="56D231BC" w14:textId="1AAE23BD" w:rsidR="00210822" w:rsidRPr="00210822" w:rsidRDefault="00210822" w:rsidP="00210822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23195A">
              <w:rPr>
                <w:rFonts w:ascii="Times New Roman" w:eastAsia="+mn-ea" w:hAnsi="Times New Roman" w:cs="Times New Roman"/>
                <w:color w:val="000000" w:themeColor="text1"/>
                <w:kern w:val="24"/>
                <w:sz w:val="24"/>
                <w:szCs w:val="24"/>
                <w:lang w:eastAsia="lt-LT"/>
              </w:rPr>
              <w:t>–</w:t>
            </w:r>
            <w:r w:rsidR="009D15D5" w:rsidRPr="0023195A">
              <w:rPr>
                <w:rFonts w:ascii="Times New Roman" w:eastAsia="+mn-ea" w:hAnsi="Times New Roman" w:cs="Times New Roman"/>
                <w:color w:val="000000" w:themeColor="text1"/>
                <w:kern w:val="24"/>
                <w:sz w:val="24"/>
                <w:szCs w:val="24"/>
                <w:lang w:eastAsia="lt-LT"/>
              </w:rPr>
              <w:t xml:space="preserve"> </w:t>
            </w:r>
            <w:r w:rsidR="009825AA" w:rsidRPr="0023195A">
              <w:rPr>
                <w:rFonts w:ascii="Times New Roman" w:eastAsia="+mn-ea" w:hAnsi="Times New Roman" w:cs="Times New Roman"/>
                <w:color w:val="000000" w:themeColor="text1"/>
                <w:kern w:val="24"/>
                <w:sz w:val="24"/>
                <w:szCs w:val="24"/>
                <w:lang w:eastAsia="lt-LT"/>
              </w:rPr>
              <w:t>dauguma (</w:t>
            </w:r>
            <w:r w:rsidR="00D81E75" w:rsidRPr="0023195A">
              <w:rPr>
                <w:rFonts w:ascii="Times New Roman" w:eastAsia="+mn-ea" w:hAnsi="Times New Roman" w:cs="Times New Roman"/>
                <w:color w:val="000000" w:themeColor="text1"/>
                <w:kern w:val="24"/>
                <w:sz w:val="24"/>
                <w:szCs w:val="24"/>
                <w:lang w:eastAsia="lt-LT"/>
              </w:rPr>
              <w:t xml:space="preserve">70,57 </w:t>
            </w:r>
            <w:r w:rsidR="009825AA" w:rsidRPr="0023195A">
              <w:rPr>
                <w:rFonts w:ascii="Times New Roman" w:eastAsia="+mn-ea" w:hAnsi="Times New Roman" w:cs="Times New Roman"/>
                <w:color w:val="000000" w:themeColor="text1"/>
                <w:kern w:val="24"/>
                <w:sz w:val="24"/>
                <w:szCs w:val="24"/>
                <w:lang w:eastAsia="lt-LT"/>
              </w:rPr>
              <w:t xml:space="preserve">proc.) mokinių </w:t>
            </w:r>
            <w:r w:rsidRPr="00210822">
              <w:rPr>
                <w:rFonts w:ascii="Times New Roman" w:eastAsia="+mn-ea" w:hAnsi="Times New Roman" w:cs="Times New Roman"/>
                <w:color w:val="000000" w:themeColor="text1"/>
                <w:kern w:val="24"/>
                <w:sz w:val="24"/>
                <w:szCs w:val="24"/>
                <w:lang w:eastAsia="lt-LT"/>
              </w:rPr>
              <w:t>VBE metu išlaik</w:t>
            </w:r>
            <w:r w:rsidR="009825AA" w:rsidRPr="0023195A">
              <w:rPr>
                <w:rFonts w:ascii="Times New Roman" w:eastAsia="+mn-ea" w:hAnsi="Times New Roman" w:cs="Times New Roman"/>
                <w:color w:val="000000" w:themeColor="text1"/>
                <w:kern w:val="24"/>
                <w:sz w:val="24"/>
                <w:szCs w:val="24"/>
                <w:lang w:eastAsia="lt-LT"/>
              </w:rPr>
              <w:t>ė</w:t>
            </w:r>
            <w:r w:rsidRPr="00210822">
              <w:rPr>
                <w:rFonts w:ascii="Times New Roman" w:eastAsia="+mn-ea" w:hAnsi="Times New Roman" w:cs="Times New Roman"/>
                <w:color w:val="000000" w:themeColor="text1"/>
                <w:kern w:val="24"/>
                <w:sz w:val="24"/>
                <w:szCs w:val="24"/>
                <w:lang w:eastAsia="lt-LT"/>
              </w:rPr>
              <w:t xml:space="preserve"> turėtą IV kl. metin</w:t>
            </w:r>
            <w:r w:rsidR="009825AA" w:rsidRPr="0023195A">
              <w:rPr>
                <w:rFonts w:ascii="Times New Roman" w:eastAsia="+mn-ea" w:hAnsi="Times New Roman" w:cs="Times New Roman"/>
                <w:color w:val="000000" w:themeColor="text1"/>
                <w:kern w:val="24"/>
                <w:sz w:val="24"/>
                <w:szCs w:val="24"/>
                <w:lang w:eastAsia="lt-LT"/>
              </w:rPr>
              <w:t>io</w:t>
            </w:r>
            <w:r w:rsidRPr="00210822">
              <w:rPr>
                <w:rFonts w:ascii="Times New Roman" w:eastAsia="+mn-ea" w:hAnsi="Times New Roman" w:cs="Times New Roman"/>
                <w:color w:val="000000" w:themeColor="text1"/>
                <w:kern w:val="24"/>
                <w:sz w:val="24"/>
                <w:szCs w:val="24"/>
                <w:lang w:eastAsia="lt-LT"/>
              </w:rPr>
              <w:t xml:space="preserve"> </w:t>
            </w:r>
            <w:r w:rsidR="009825AA" w:rsidRPr="0023195A">
              <w:rPr>
                <w:rFonts w:ascii="Times New Roman" w:eastAsia="+mn-ea" w:hAnsi="Times New Roman" w:cs="Times New Roman"/>
                <w:color w:val="000000" w:themeColor="text1"/>
                <w:kern w:val="24"/>
                <w:sz w:val="24"/>
                <w:szCs w:val="24"/>
                <w:lang w:eastAsia="lt-LT"/>
              </w:rPr>
              <w:t xml:space="preserve">įvertinimo </w:t>
            </w:r>
            <w:r w:rsidRPr="00210822">
              <w:rPr>
                <w:rFonts w:ascii="Times New Roman" w:eastAsia="+mn-ea" w:hAnsi="Times New Roman" w:cs="Times New Roman"/>
                <w:color w:val="000000" w:themeColor="text1"/>
                <w:kern w:val="24"/>
                <w:sz w:val="24"/>
                <w:szCs w:val="24"/>
                <w:lang w:eastAsia="lt-LT"/>
              </w:rPr>
              <w:t xml:space="preserve">pasiekimų </w:t>
            </w:r>
            <w:r w:rsidR="009825AA" w:rsidRPr="0023195A">
              <w:rPr>
                <w:rFonts w:ascii="Times New Roman" w:eastAsia="+mn-ea" w:hAnsi="Times New Roman" w:cs="Times New Roman"/>
                <w:color w:val="000000" w:themeColor="text1"/>
                <w:kern w:val="24"/>
                <w:sz w:val="24"/>
                <w:szCs w:val="24"/>
                <w:lang w:eastAsia="lt-LT"/>
              </w:rPr>
              <w:t>lygį;</w:t>
            </w:r>
          </w:p>
          <w:p w14:paraId="58CAE8B7" w14:textId="14366020" w:rsidR="00210822" w:rsidRPr="00210822" w:rsidRDefault="00210822" w:rsidP="00210822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lt-LT"/>
              </w:rPr>
              <w:lastRenderedPageBreak/>
              <w:t xml:space="preserve">– </w:t>
            </w:r>
            <w:r w:rsidR="009D15D5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lt-LT"/>
              </w:rPr>
              <w:t xml:space="preserve"> </w:t>
            </w:r>
            <w:r w:rsidR="00C00B46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lt-LT"/>
              </w:rPr>
              <w:t>n</w:t>
            </w:r>
            <w:r w:rsidRPr="00210822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lt-LT"/>
              </w:rPr>
              <w:t>uo 2019 metų rugsėjo 1 dienos (4 metus (I-IV kl.)</w:t>
            </w:r>
            <w:r w:rsidR="009824FA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lt-LT"/>
              </w:rPr>
              <w:t>)</w:t>
            </w:r>
            <w:r w:rsidRPr="00210822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lt-LT"/>
              </w:rPr>
              <w:t xml:space="preserve"> mokinių VBE metu </w:t>
            </w:r>
            <w:r w:rsidRPr="00210822">
              <w:rPr>
                <w:rFonts w:ascii="Times New Roman" w:eastAsia="+mn-ea" w:hAnsi="Times New Roman" w:cs="Times New Roman"/>
                <w:color w:val="000000" w:themeColor="text1"/>
                <w:kern w:val="24"/>
                <w:sz w:val="24"/>
                <w:szCs w:val="24"/>
                <w:lang w:eastAsia="lt-LT"/>
              </w:rPr>
              <w:t xml:space="preserve">pademonstravusių </w:t>
            </w:r>
            <w:r w:rsidR="00C00B46" w:rsidRPr="0023195A">
              <w:rPr>
                <w:rFonts w:ascii="Times New Roman" w:eastAsia="+mn-ea" w:hAnsi="Times New Roman" w:cs="Times New Roman"/>
                <w:color w:val="000000" w:themeColor="text1"/>
                <w:kern w:val="24"/>
                <w:sz w:val="24"/>
                <w:szCs w:val="24"/>
                <w:lang w:eastAsia="lt-LT"/>
              </w:rPr>
              <w:t>tą patį</w:t>
            </w:r>
            <w:r w:rsidRPr="00210822">
              <w:rPr>
                <w:rFonts w:ascii="Times New Roman" w:eastAsia="+mn-ea" w:hAnsi="Times New Roman" w:cs="Times New Roman"/>
                <w:color w:val="000000" w:themeColor="text1"/>
                <w:kern w:val="24"/>
                <w:sz w:val="24"/>
                <w:szCs w:val="24"/>
                <w:lang w:eastAsia="lt-LT"/>
              </w:rPr>
              <w:t xml:space="preserve">  </w:t>
            </w:r>
            <w:r w:rsidR="00C00B46" w:rsidRPr="0023195A">
              <w:rPr>
                <w:rFonts w:ascii="Times New Roman" w:eastAsia="+mn-ea" w:hAnsi="Times New Roman" w:cs="Times New Roman"/>
                <w:color w:val="000000" w:themeColor="text1"/>
                <w:kern w:val="24"/>
                <w:sz w:val="24"/>
                <w:szCs w:val="24"/>
                <w:lang w:eastAsia="lt-LT"/>
              </w:rPr>
              <w:t>kaip I</w:t>
            </w:r>
            <w:r w:rsidR="00D81E75" w:rsidRPr="0023195A">
              <w:rPr>
                <w:rFonts w:ascii="Times New Roman" w:eastAsia="+mn-ea" w:hAnsi="Times New Roman" w:cs="Times New Roman"/>
                <w:color w:val="000000" w:themeColor="text1"/>
                <w:kern w:val="24"/>
                <w:sz w:val="24"/>
                <w:szCs w:val="24"/>
                <w:lang w:eastAsia="lt-LT"/>
              </w:rPr>
              <w:t xml:space="preserve"> </w:t>
            </w:r>
            <w:r w:rsidRPr="00210822">
              <w:rPr>
                <w:rFonts w:ascii="Times New Roman" w:eastAsia="+mn-ea" w:hAnsi="Times New Roman" w:cs="Times New Roman"/>
                <w:color w:val="000000" w:themeColor="text1"/>
                <w:kern w:val="24"/>
                <w:sz w:val="24"/>
                <w:szCs w:val="24"/>
                <w:lang w:eastAsia="lt-LT"/>
              </w:rPr>
              <w:t>kl. metini</w:t>
            </w:r>
            <w:r w:rsidR="00C00B46" w:rsidRPr="0023195A">
              <w:rPr>
                <w:rFonts w:ascii="Times New Roman" w:eastAsia="+mn-ea" w:hAnsi="Times New Roman" w:cs="Times New Roman"/>
                <w:color w:val="000000" w:themeColor="text1"/>
                <w:kern w:val="24"/>
                <w:sz w:val="24"/>
                <w:szCs w:val="24"/>
                <w:lang w:eastAsia="lt-LT"/>
              </w:rPr>
              <w:t>o</w:t>
            </w:r>
            <w:r w:rsidRPr="00210822">
              <w:rPr>
                <w:rFonts w:ascii="Times New Roman" w:eastAsia="+mn-ea" w:hAnsi="Times New Roman" w:cs="Times New Roman"/>
                <w:color w:val="000000" w:themeColor="text1"/>
                <w:kern w:val="24"/>
                <w:sz w:val="24"/>
                <w:szCs w:val="24"/>
                <w:lang w:eastAsia="lt-LT"/>
              </w:rPr>
              <w:t xml:space="preserve"> turėtą pasiekimų lygmenį dalis</w:t>
            </w:r>
            <w:r w:rsidR="00C00B46" w:rsidRPr="0023195A">
              <w:rPr>
                <w:rFonts w:ascii="Times New Roman" w:eastAsia="+mn-ea" w:hAnsi="Times New Roman" w:cs="Times New Roman"/>
                <w:color w:val="000000" w:themeColor="text1"/>
                <w:kern w:val="24"/>
                <w:sz w:val="24"/>
                <w:szCs w:val="24"/>
                <w:lang w:eastAsia="lt-LT"/>
              </w:rPr>
              <w:t xml:space="preserve"> – </w:t>
            </w:r>
            <w:r w:rsidR="00D81E75" w:rsidRPr="0023195A">
              <w:rPr>
                <w:rFonts w:ascii="Times New Roman" w:eastAsia="+mn-ea" w:hAnsi="Times New Roman" w:cs="Times New Roman"/>
                <w:color w:val="000000" w:themeColor="text1"/>
                <w:kern w:val="24"/>
                <w:sz w:val="24"/>
                <w:szCs w:val="24"/>
                <w:lang w:eastAsia="lt-LT"/>
              </w:rPr>
              <w:t xml:space="preserve">47,81 </w:t>
            </w:r>
            <w:r w:rsidR="00C00B46" w:rsidRPr="0023195A">
              <w:rPr>
                <w:rFonts w:ascii="Times New Roman" w:eastAsia="+mn-ea" w:hAnsi="Times New Roman" w:cs="Times New Roman"/>
                <w:color w:val="000000" w:themeColor="text1"/>
                <w:kern w:val="24"/>
                <w:sz w:val="24"/>
                <w:szCs w:val="24"/>
                <w:lang w:eastAsia="lt-LT"/>
              </w:rPr>
              <w:t>proc.</w:t>
            </w:r>
            <w:r w:rsidRPr="0023195A">
              <w:rPr>
                <w:rFonts w:ascii="Times New Roman" w:eastAsia="+mn-ea" w:hAnsi="Times New Roman" w:cs="Times New Roman"/>
                <w:color w:val="000000" w:themeColor="text1"/>
                <w:kern w:val="24"/>
                <w:sz w:val="24"/>
                <w:szCs w:val="24"/>
                <w:lang w:eastAsia="lt-LT"/>
              </w:rPr>
              <w:t>;</w:t>
            </w:r>
          </w:p>
          <w:p w14:paraId="5CC4FB35" w14:textId="2214FE79" w:rsidR="00CE6F79" w:rsidRPr="0023195A" w:rsidRDefault="00210822" w:rsidP="00210822">
            <w:pPr>
              <w:spacing w:line="276" w:lineRule="auto"/>
              <w:contextualSpacing/>
              <w:rPr>
                <w:rFonts w:ascii="Times New Roman" w:eastAsia="+mn-ea" w:hAnsi="Times New Roman" w:cs="Times New Roman"/>
                <w:color w:val="000000" w:themeColor="text1"/>
                <w:kern w:val="24"/>
                <w:sz w:val="24"/>
                <w:szCs w:val="24"/>
                <w:lang w:eastAsia="lt-LT"/>
              </w:rPr>
            </w:pPr>
            <w:r w:rsidRPr="0023195A">
              <w:rPr>
                <w:rFonts w:ascii="Times New Roman" w:eastAsia="+mn-ea" w:hAnsi="Times New Roman" w:cs="Times New Roman"/>
                <w:color w:val="000000" w:themeColor="text1"/>
                <w:kern w:val="24"/>
                <w:sz w:val="24"/>
                <w:szCs w:val="24"/>
                <w:lang w:eastAsia="lt-LT"/>
              </w:rPr>
              <w:t xml:space="preserve">– </w:t>
            </w:r>
            <w:r w:rsidR="009D15D5" w:rsidRPr="0023195A">
              <w:rPr>
                <w:rFonts w:ascii="Times New Roman" w:eastAsia="+mn-ea" w:hAnsi="Times New Roman" w:cs="Times New Roman"/>
                <w:color w:val="000000" w:themeColor="text1"/>
                <w:kern w:val="24"/>
                <w:sz w:val="24"/>
                <w:szCs w:val="24"/>
                <w:lang w:eastAsia="lt-LT"/>
              </w:rPr>
              <w:t xml:space="preserve"> </w:t>
            </w:r>
            <w:r w:rsidR="00236BA8">
              <w:rPr>
                <w:rFonts w:ascii="Times New Roman" w:eastAsia="+mn-ea" w:hAnsi="Times New Roman" w:cs="Times New Roman"/>
                <w:color w:val="000000" w:themeColor="text1"/>
                <w:kern w:val="24"/>
                <w:sz w:val="24"/>
                <w:szCs w:val="24"/>
                <w:lang w:eastAsia="lt-LT"/>
              </w:rPr>
              <w:t>n</w:t>
            </w:r>
            <w:r w:rsidRPr="00210822">
              <w:rPr>
                <w:rFonts w:ascii="Times New Roman" w:eastAsia="+mn-ea" w:hAnsi="Times New Roman" w:cs="Times New Roman"/>
                <w:color w:val="000000" w:themeColor="text1"/>
                <w:kern w:val="24"/>
                <w:sz w:val="24"/>
                <w:szCs w:val="24"/>
                <w:lang w:eastAsia="lt-LT"/>
              </w:rPr>
              <w:t>uo 2021 metų rugsėjo 1 dienos (III-IV kl.) mokytų mokinių išlaikiusių ne mažesnį nei turėtą (III kl. metini</w:t>
            </w:r>
            <w:r w:rsidR="001B0914" w:rsidRPr="0023195A">
              <w:rPr>
                <w:rFonts w:ascii="Times New Roman" w:eastAsia="+mn-ea" w:hAnsi="Times New Roman" w:cs="Times New Roman"/>
                <w:color w:val="000000" w:themeColor="text1"/>
                <w:kern w:val="24"/>
                <w:sz w:val="24"/>
                <w:szCs w:val="24"/>
                <w:lang w:eastAsia="lt-LT"/>
              </w:rPr>
              <w:t>o</w:t>
            </w:r>
            <w:r w:rsidRPr="00210822">
              <w:rPr>
                <w:rFonts w:ascii="Times New Roman" w:eastAsia="+mn-ea" w:hAnsi="Times New Roman" w:cs="Times New Roman"/>
                <w:color w:val="000000" w:themeColor="text1"/>
                <w:kern w:val="24"/>
                <w:sz w:val="24"/>
                <w:szCs w:val="24"/>
                <w:lang w:eastAsia="lt-LT"/>
              </w:rPr>
              <w:t>) pasiekimų lyg</w:t>
            </w:r>
            <w:r w:rsidR="001B0914" w:rsidRPr="0023195A">
              <w:rPr>
                <w:rFonts w:ascii="Times New Roman" w:eastAsia="+mn-ea" w:hAnsi="Times New Roman" w:cs="Times New Roman"/>
                <w:color w:val="000000" w:themeColor="text1"/>
                <w:kern w:val="24"/>
                <w:sz w:val="24"/>
                <w:szCs w:val="24"/>
                <w:lang w:eastAsia="lt-LT"/>
              </w:rPr>
              <w:t>į</w:t>
            </w:r>
            <w:r w:rsidRPr="00210822">
              <w:rPr>
                <w:rFonts w:ascii="Times New Roman" w:eastAsia="+mn-ea" w:hAnsi="Times New Roman" w:cs="Times New Roman"/>
                <w:color w:val="000000" w:themeColor="text1"/>
                <w:kern w:val="24"/>
                <w:sz w:val="24"/>
                <w:szCs w:val="24"/>
                <w:lang w:eastAsia="lt-LT"/>
              </w:rPr>
              <w:t xml:space="preserve"> dalis</w:t>
            </w:r>
            <w:r w:rsidR="00C00B46" w:rsidRPr="0023195A">
              <w:rPr>
                <w:rFonts w:ascii="Times New Roman" w:eastAsia="+mn-ea" w:hAnsi="Times New Roman" w:cs="Times New Roman"/>
                <w:color w:val="000000" w:themeColor="text1"/>
                <w:kern w:val="24"/>
                <w:sz w:val="24"/>
                <w:szCs w:val="24"/>
                <w:lang w:eastAsia="lt-LT"/>
              </w:rPr>
              <w:t xml:space="preserve"> – </w:t>
            </w:r>
            <w:r w:rsidR="00D81E75" w:rsidRPr="0023195A">
              <w:rPr>
                <w:rFonts w:ascii="Times New Roman" w:eastAsia="+mn-ea" w:hAnsi="Times New Roman" w:cs="Times New Roman"/>
                <w:color w:val="000000" w:themeColor="text1"/>
                <w:kern w:val="24"/>
                <w:sz w:val="24"/>
                <w:szCs w:val="24"/>
                <w:lang w:eastAsia="lt-LT"/>
              </w:rPr>
              <w:t xml:space="preserve">58,21 </w:t>
            </w:r>
            <w:r w:rsidR="00C00B46" w:rsidRPr="0023195A">
              <w:rPr>
                <w:rFonts w:ascii="Times New Roman" w:eastAsia="+mn-ea" w:hAnsi="Times New Roman" w:cs="Times New Roman"/>
                <w:color w:val="000000" w:themeColor="text1"/>
                <w:kern w:val="24"/>
                <w:sz w:val="24"/>
                <w:szCs w:val="24"/>
                <w:lang w:eastAsia="lt-LT"/>
              </w:rPr>
              <w:t>proc.</w:t>
            </w:r>
            <w:r w:rsidR="00236BA8">
              <w:rPr>
                <w:rFonts w:ascii="Times New Roman" w:eastAsia="+mn-ea" w:hAnsi="Times New Roman" w:cs="Times New Roman"/>
                <w:color w:val="000000" w:themeColor="text1"/>
                <w:kern w:val="24"/>
                <w:sz w:val="24"/>
                <w:szCs w:val="24"/>
                <w:lang w:eastAsia="lt-LT"/>
              </w:rPr>
              <w:t>.</w:t>
            </w:r>
          </w:p>
          <w:p w14:paraId="7B4E9223" w14:textId="40FFDF15" w:rsidR="00210822" w:rsidRPr="00210822" w:rsidRDefault="00CE6F79" w:rsidP="00210822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23195A">
              <w:rPr>
                <w:rFonts w:ascii="Times New Roman" w:eastAsia="+mn-ea" w:hAnsi="Times New Roman" w:cs="Times New Roman"/>
                <w:color w:val="000000" w:themeColor="text1"/>
                <w:kern w:val="24"/>
                <w:sz w:val="24"/>
                <w:szCs w:val="24"/>
                <w:lang w:eastAsia="lt-LT"/>
              </w:rPr>
              <w:t xml:space="preserve">● Mokytojų </w:t>
            </w:r>
            <w:r w:rsidR="00B716BF" w:rsidRPr="0023195A">
              <w:rPr>
                <w:rFonts w:ascii="Times New Roman" w:eastAsia="+mn-ea" w:hAnsi="Times New Roman" w:cs="Times New Roman"/>
                <w:color w:val="000000" w:themeColor="text1"/>
                <w:kern w:val="24"/>
                <w:sz w:val="24"/>
                <w:szCs w:val="24"/>
                <w:lang w:eastAsia="lt-LT"/>
              </w:rPr>
              <w:t>i</w:t>
            </w:r>
            <w:r w:rsidR="006F188B" w:rsidRPr="0023195A">
              <w:rPr>
                <w:rFonts w:ascii="Times New Roman" w:eastAsia="+mn-ea" w:hAnsi="Times New Roman" w:cs="Times New Roman"/>
                <w:color w:val="000000" w:themeColor="text1"/>
                <w:kern w:val="24"/>
                <w:sz w:val="24"/>
                <w:szCs w:val="24"/>
                <w:lang w:eastAsia="lt-LT"/>
              </w:rPr>
              <w:t xml:space="preserve">ndėlio </w:t>
            </w:r>
            <w:r w:rsidR="00236BA8">
              <w:rPr>
                <w:rFonts w:ascii="Times New Roman" w:eastAsia="+mn-ea" w:hAnsi="Times New Roman" w:cs="Times New Roman"/>
                <w:color w:val="000000" w:themeColor="text1"/>
                <w:kern w:val="24"/>
                <w:sz w:val="24"/>
                <w:szCs w:val="24"/>
                <w:lang w:eastAsia="lt-LT"/>
              </w:rPr>
              <w:t xml:space="preserve">į </w:t>
            </w:r>
            <w:r w:rsidR="006F188B" w:rsidRPr="0023195A">
              <w:rPr>
                <w:rFonts w:ascii="Times New Roman" w:eastAsia="+mn-ea" w:hAnsi="Times New Roman" w:cs="Times New Roman"/>
                <w:color w:val="000000" w:themeColor="text1"/>
                <w:kern w:val="24"/>
                <w:sz w:val="24"/>
                <w:szCs w:val="24"/>
                <w:lang w:eastAsia="lt-LT"/>
              </w:rPr>
              <w:t>mokinių pasiekim</w:t>
            </w:r>
            <w:r w:rsidR="00236BA8">
              <w:rPr>
                <w:rFonts w:ascii="Times New Roman" w:eastAsia="+mn-ea" w:hAnsi="Times New Roman" w:cs="Times New Roman"/>
                <w:color w:val="000000" w:themeColor="text1"/>
                <w:kern w:val="24"/>
                <w:sz w:val="24"/>
                <w:szCs w:val="24"/>
                <w:lang w:eastAsia="lt-LT"/>
              </w:rPr>
              <w:t>us</w:t>
            </w:r>
            <w:r w:rsidR="006F188B" w:rsidRPr="0023195A">
              <w:rPr>
                <w:rFonts w:ascii="Times New Roman" w:eastAsia="+mn-ea" w:hAnsi="Times New Roman" w:cs="Times New Roman"/>
                <w:color w:val="000000" w:themeColor="text1"/>
                <w:kern w:val="24"/>
                <w:sz w:val="24"/>
                <w:szCs w:val="24"/>
                <w:lang w:eastAsia="lt-LT"/>
              </w:rPr>
              <w:t xml:space="preserve"> </w:t>
            </w:r>
            <w:r w:rsidRPr="0023195A">
              <w:rPr>
                <w:rFonts w:ascii="Times New Roman" w:eastAsia="+mn-ea" w:hAnsi="Times New Roman" w:cs="Times New Roman"/>
                <w:color w:val="000000" w:themeColor="text1"/>
                <w:kern w:val="24"/>
                <w:sz w:val="24"/>
                <w:szCs w:val="24"/>
                <w:lang w:eastAsia="lt-LT"/>
              </w:rPr>
              <w:t>įsivertinimo duomenimis:</w:t>
            </w:r>
            <w:r w:rsidR="00210822" w:rsidRPr="002108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                              </w:t>
            </w:r>
          </w:p>
          <w:p w14:paraId="10494ADE" w14:textId="091C7FD3" w:rsidR="00210822" w:rsidRPr="00210822" w:rsidRDefault="00210822" w:rsidP="00210822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23195A">
              <w:rPr>
                <w:rFonts w:ascii="Times New Roman" w:eastAsia="+mn-ea" w:hAnsi="Times New Roman" w:cs="Times New Roman"/>
                <w:color w:val="000000" w:themeColor="text1"/>
                <w:kern w:val="24"/>
                <w:sz w:val="24"/>
                <w:szCs w:val="24"/>
                <w:lang w:eastAsia="lt-LT"/>
              </w:rPr>
              <w:t>–</w:t>
            </w:r>
            <w:r w:rsidR="009D15D5" w:rsidRPr="0023195A">
              <w:rPr>
                <w:rFonts w:ascii="Times New Roman" w:eastAsia="+mn-ea" w:hAnsi="Times New Roman" w:cs="Times New Roman"/>
                <w:color w:val="000000" w:themeColor="text1"/>
                <w:kern w:val="24"/>
                <w:sz w:val="24"/>
                <w:szCs w:val="24"/>
                <w:lang w:eastAsia="lt-LT"/>
              </w:rPr>
              <w:t xml:space="preserve"> </w:t>
            </w:r>
            <w:r w:rsidR="00B10D41" w:rsidRPr="0023195A">
              <w:rPr>
                <w:rFonts w:ascii="Times New Roman" w:eastAsia="+mn-ea" w:hAnsi="Times New Roman" w:cs="Times New Roman"/>
                <w:color w:val="000000" w:themeColor="text1"/>
                <w:kern w:val="24"/>
                <w:sz w:val="24"/>
                <w:szCs w:val="24"/>
                <w:lang w:eastAsia="lt-LT"/>
              </w:rPr>
              <w:t>daugumoje (</w:t>
            </w:r>
            <w:r w:rsidR="00C14120" w:rsidRPr="0023195A">
              <w:rPr>
                <w:rFonts w:ascii="Times New Roman" w:eastAsia="+mn-ea" w:hAnsi="Times New Roman" w:cs="Times New Roman"/>
                <w:color w:val="000000" w:themeColor="text1"/>
                <w:kern w:val="24"/>
                <w:sz w:val="24"/>
                <w:szCs w:val="24"/>
                <w:lang w:eastAsia="lt-LT"/>
              </w:rPr>
              <w:t>79,77 proc.</w:t>
            </w:r>
            <w:r w:rsidR="00B10D41" w:rsidRPr="0023195A">
              <w:rPr>
                <w:rFonts w:ascii="Times New Roman" w:eastAsia="+mn-ea" w:hAnsi="Times New Roman" w:cs="Times New Roman"/>
                <w:color w:val="000000" w:themeColor="text1"/>
                <w:kern w:val="24"/>
                <w:sz w:val="24"/>
                <w:szCs w:val="24"/>
                <w:lang w:eastAsia="lt-LT"/>
              </w:rPr>
              <w:t>)</w:t>
            </w:r>
            <w:r w:rsidR="00C14120" w:rsidRPr="0023195A">
              <w:rPr>
                <w:rFonts w:ascii="Times New Roman" w:eastAsia="+mn-ea" w:hAnsi="Times New Roman" w:cs="Times New Roman"/>
                <w:color w:val="000000" w:themeColor="text1"/>
                <w:kern w:val="24"/>
                <w:sz w:val="24"/>
                <w:szCs w:val="24"/>
                <w:lang w:eastAsia="lt-LT"/>
              </w:rPr>
              <w:t xml:space="preserve"> </w:t>
            </w:r>
            <w:r w:rsidRPr="00210822">
              <w:rPr>
                <w:rFonts w:ascii="Times New Roman" w:eastAsia="+mn-ea" w:hAnsi="Times New Roman" w:cs="Times New Roman"/>
                <w:color w:val="000000" w:themeColor="text1"/>
                <w:kern w:val="24"/>
                <w:sz w:val="24"/>
                <w:szCs w:val="24"/>
                <w:lang w:eastAsia="lt-LT"/>
              </w:rPr>
              <w:t>pamok</w:t>
            </w:r>
            <w:r w:rsidR="00C14120" w:rsidRPr="0023195A">
              <w:rPr>
                <w:rFonts w:ascii="Times New Roman" w:eastAsia="+mn-ea" w:hAnsi="Times New Roman" w:cs="Times New Roman"/>
                <w:color w:val="000000" w:themeColor="text1"/>
                <w:kern w:val="24"/>
                <w:sz w:val="24"/>
                <w:szCs w:val="24"/>
                <w:lang w:eastAsia="lt-LT"/>
              </w:rPr>
              <w:t>ų</w:t>
            </w:r>
            <w:r w:rsidRPr="00210822">
              <w:rPr>
                <w:rFonts w:ascii="Times New Roman" w:eastAsia="+mn-ea" w:hAnsi="Times New Roman" w:cs="Times New Roman"/>
                <w:color w:val="000000" w:themeColor="text1"/>
                <w:kern w:val="24"/>
                <w:sz w:val="24"/>
                <w:szCs w:val="24"/>
                <w:lang w:eastAsia="lt-LT"/>
              </w:rPr>
              <w:t xml:space="preserve"> uždavinį </w:t>
            </w:r>
            <w:r w:rsidR="00CA7472" w:rsidRPr="0023195A">
              <w:rPr>
                <w:rFonts w:ascii="Times New Roman" w:eastAsia="+mn-ea" w:hAnsi="Times New Roman" w:cs="Times New Roman"/>
                <w:color w:val="000000" w:themeColor="text1"/>
                <w:kern w:val="24"/>
                <w:sz w:val="24"/>
                <w:szCs w:val="24"/>
                <w:lang w:eastAsia="lt-LT"/>
              </w:rPr>
              <w:t>įgyvendina</w:t>
            </w:r>
            <w:r w:rsidRPr="00210822">
              <w:rPr>
                <w:rFonts w:ascii="Times New Roman" w:eastAsia="+mn-ea" w:hAnsi="Times New Roman" w:cs="Times New Roman"/>
                <w:color w:val="000000" w:themeColor="text1"/>
                <w:kern w:val="24"/>
                <w:sz w:val="24"/>
                <w:szCs w:val="24"/>
                <w:lang w:eastAsia="lt-LT"/>
              </w:rPr>
              <w:t xml:space="preserve"> (išmoksta ir savarankiškai pademonstruoja dalyk</w:t>
            </w:r>
            <w:r w:rsidR="00CA7472" w:rsidRPr="0023195A">
              <w:rPr>
                <w:rFonts w:ascii="Times New Roman" w:eastAsia="+mn-ea" w:hAnsi="Times New Roman" w:cs="Times New Roman"/>
                <w:color w:val="000000" w:themeColor="text1"/>
                <w:kern w:val="24"/>
                <w:sz w:val="24"/>
                <w:szCs w:val="24"/>
                <w:lang w:eastAsia="lt-LT"/>
              </w:rPr>
              <w:t xml:space="preserve">o </w:t>
            </w:r>
            <w:r w:rsidRPr="00210822">
              <w:rPr>
                <w:rFonts w:ascii="Times New Roman" w:eastAsia="+mn-ea" w:hAnsi="Times New Roman" w:cs="Times New Roman"/>
                <w:color w:val="000000" w:themeColor="text1"/>
                <w:kern w:val="24"/>
                <w:sz w:val="24"/>
                <w:szCs w:val="24"/>
                <w:lang w:eastAsia="lt-LT"/>
              </w:rPr>
              <w:t>pažinimo kompetencijos fragmentą</w:t>
            </w:r>
            <w:r w:rsidR="00CA7472" w:rsidRPr="0023195A">
              <w:rPr>
                <w:rFonts w:ascii="Times New Roman" w:eastAsia="+mn-ea" w:hAnsi="Times New Roman" w:cs="Times New Roman"/>
                <w:color w:val="000000" w:themeColor="text1"/>
                <w:kern w:val="24"/>
                <w:sz w:val="24"/>
                <w:szCs w:val="24"/>
                <w:lang w:eastAsia="lt-LT"/>
              </w:rPr>
              <w:t>,</w:t>
            </w:r>
            <w:r w:rsidRPr="00210822">
              <w:rPr>
                <w:rFonts w:ascii="Times New Roman" w:eastAsia="+mn-ea" w:hAnsi="Times New Roman" w:cs="Times New Roman"/>
                <w:color w:val="000000" w:themeColor="text1"/>
                <w:kern w:val="24"/>
                <w:sz w:val="24"/>
                <w:szCs w:val="24"/>
                <w:lang w:eastAsia="lt-LT"/>
              </w:rPr>
              <w:t xml:space="preserve"> aptartą pamokos pradžioje</w:t>
            </w:r>
            <w:r w:rsidR="00CA7472" w:rsidRPr="0023195A">
              <w:rPr>
                <w:rFonts w:ascii="Times New Roman" w:eastAsia="+mn-ea" w:hAnsi="Times New Roman" w:cs="Times New Roman"/>
                <w:color w:val="000000" w:themeColor="text1"/>
                <w:kern w:val="24"/>
                <w:sz w:val="24"/>
                <w:szCs w:val="24"/>
                <w:lang w:eastAsia="lt-LT"/>
              </w:rPr>
              <w:t>)</w:t>
            </w:r>
            <w:r w:rsidRPr="00210822">
              <w:rPr>
                <w:rFonts w:ascii="Times New Roman" w:eastAsia="+mn-ea" w:hAnsi="Times New Roman" w:cs="Times New Roman"/>
                <w:color w:val="000000" w:themeColor="text1"/>
                <w:kern w:val="24"/>
                <w:sz w:val="24"/>
                <w:szCs w:val="24"/>
                <w:lang w:eastAsia="lt-LT"/>
              </w:rPr>
              <w:t xml:space="preserve"> beveik visi (ne mažiau kaip 90 proc.) mokiniai</w:t>
            </w:r>
            <w:r w:rsidR="00C14120" w:rsidRPr="0023195A">
              <w:rPr>
                <w:rFonts w:ascii="Times New Roman" w:eastAsia="+mn-ea" w:hAnsi="Times New Roman" w:cs="Times New Roman"/>
                <w:color w:val="000000" w:themeColor="text1"/>
                <w:kern w:val="24"/>
                <w:sz w:val="24"/>
                <w:szCs w:val="24"/>
                <w:lang w:eastAsia="lt-LT"/>
              </w:rPr>
              <w:t>;</w:t>
            </w:r>
          </w:p>
          <w:p w14:paraId="0C0BED16" w14:textId="1FCF7F38" w:rsidR="00210822" w:rsidRPr="00CA7472" w:rsidRDefault="00210822" w:rsidP="00210822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3195A">
              <w:rPr>
                <w:rFonts w:ascii="Times New Roman" w:eastAsia="+mn-ea" w:hAnsi="Times New Roman" w:cs="Times New Roman"/>
                <w:color w:val="000000" w:themeColor="text1"/>
                <w:kern w:val="24"/>
                <w:sz w:val="24"/>
                <w:szCs w:val="24"/>
                <w:lang w:eastAsia="lt-LT"/>
              </w:rPr>
              <w:t xml:space="preserve">– </w:t>
            </w:r>
            <w:r w:rsidR="00B10D41" w:rsidRPr="0023195A">
              <w:rPr>
                <w:rFonts w:ascii="Times New Roman" w:eastAsia="+mn-ea" w:hAnsi="Times New Roman" w:cs="Times New Roman"/>
                <w:color w:val="000000" w:themeColor="text1"/>
                <w:kern w:val="24"/>
                <w:sz w:val="24"/>
                <w:szCs w:val="24"/>
                <w:lang w:eastAsia="lt-LT"/>
              </w:rPr>
              <w:t xml:space="preserve">dauguma </w:t>
            </w:r>
            <w:r w:rsidR="00C14120" w:rsidRPr="0023195A">
              <w:rPr>
                <w:rFonts w:ascii="Times New Roman" w:eastAsia="+mn-ea" w:hAnsi="Times New Roman" w:cs="Times New Roman"/>
                <w:color w:val="000000" w:themeColor="text1"/>
                <w:kern w:val="24"/>
                <w:sz w:val="24"/>
                <w:szCs w:val="24"/>
                <w:lang w:eastAsia="lt-LT"/>
              </w:rPr>
              <w:t xml:space="preserve">76,65 proc. </w:t>
            </w:r>
            <w:r w:rsidRPr="00210822">
              <w:rPr>
                <w:rFonts w:ascii="Times New Roman" w:eastAsia="+mn-ea" w:hAnsi="Times New Roman" w:cs="Times New Roman"/>
                <w:color w:val="000000" w:themeColor="text1"/>
                <w:kern w:val="24"/>
                <w:sz w:val="24"/>
                <w:szCs w:val="24"/>
                <w:lang w:eastAsia="lt-LT"/>
              </w:rPr>
              <w:t xml:space="preserve">mokinių </w:t>
            </w:r>
            <w:r w:rsidRPr="00210822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lt-LT"/>
              </w:rPr>
              <w:t xml:space="preserve">pamokos uždavinį </w:t>
            </w:r>
            <w:r w:rsidR="00CA7472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lt-LT"/>
              </w:rPr>
              <w:t xml:space="preserve">įgyvendina </w:t>
            </w:r>
            <w:r w:rsidRPr="00210822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lt-LT"/>
              </w:rPr>
              <w:t>(išmoksta ir savarankiškai pademonstruoja dalyk</w:t>
            </w:r>
            <w:r w:rsidR="00CA7472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lt-LT"/>
              </w:rPr>
              <w:t>o</w:t>
            </w:r>
            <w:r w:rsidRPr="00210822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lt-LT"/>
              </w:rPr>
              <w:t xml:space="preserve"> pažinimo kompetencijos fragmentą</w:t>
            </w:r>
            <w:r w:rsidR="00CA7472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lt-LT"/>
              </w:rPr>
              <w:t xml:space="preserve">, </w:t>
            </w:r>
            <w:r w:rsidRPr="00210822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lt-LT"/>
              </w:rPr>
              <w:t>aptartą pamokos pradžioje) beveik visose (ne mažiau kaip 90 proc.) pamokose</w:t>
            </w:r>
            <w:r w:rsidR="00C14120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lt-LT"/>
              </w:rPr>
              <w:t>.</w:t>
            </w:r>
          </w:p>
          <w:p w14:paraId="69A77A58" w14:textId="29DC85F6" w:rsidR="00D14BF5" w:rsidRPr="00210822" w:rsidRDefault="00D14BF5" w:rsidP="0021082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0822">
              <w:rPr>
                <w:rFonts w:ascii="Times New Roman" w:eastAsia="Calibri" w:hAnsi="Times New Roman" w:cs="Times New Roman"/>
                <w:sz w:val="24"/>
                <w:szCs w:val="24"/>
              </w:rPr>
              <w:t>● Mokinių apklausos duomenimis:</w:t>
            </w:r>
          </w:p>
          <w:p w14:paraId="590D797A" w14:textId="77777777" w:rsidR="00D14BF5" w:rsidRPr="00210822" w:rsidRDefault="00D14BF5" w:rsidP="0021082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0822">
              <w:rPr>
                <w:rFonts w:ascii="Times New Roman" w:eastAsia="Calibri" w:hAnsi="Times New Roman" w:cs="Times New Roman"/>
                <w:sz w:val="24"/>
                <w:szCs w:val="24"/>
              </w:rPr>
              <w:t>– visose / beveik visose ar daugumoje pamokų visiškai įgyvendina pamokos uždavinius (išmoksta tai, dėl ko pamokos pradžioje sutariama su mokytoju) dauguma mokinių (63,30 proc.);</w:t>
            </w:r>
          </w:p>
          <w:p w14:paraId="74FA32A8" w14:textId="5DCEFB73" w:rsidR="00D14BF5" w:rsidRPr="00210822" w:rsidRDefault="00D14BF5" w:rsidP="0021082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0822">
              <w:rPr>
                <w:rFonts w:ascii="Times New Roman" w:eastAsia="Calibri" w:hAnsi="Times New Roman" w:cs="Times New Roman"/>
                <w:sz w:val="24"/>
                <w:szCs w:val="24"/>
              </w:rPr>
              <w:t>– su teiginiu ,,Pamokų uždavinius įgyvendinu maksimaliai pagal savo galimybes ir pastangas“ visiškai sutinka / ko gero</w:t>
            </w:r>
            <w:r w:rsidR="00D63A72" w:rsidRPr="00210822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2108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sutinka dauguma (89,66 proc.) mokinių;</w:t>
            </w:r>
          </w:p>
          <w:p w14:paraId="5F5F290B" w14:textId="68914D28" w:rsidR="006535F6" w:rsidRPr="00210822" w:rsidRDefault="00D14BF5" w:rsidP="0021082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10822">
              <w:rPr>
                <w:rFonts w:ascii="Times New Roman" w:eastAsia="Calibri" w:hAnsi="Times New Roman" w:cs="Times New Roman"/>
                <w:sz w:val="24"/>
                <w:szCs w:val="24"/>
              </w:rPr>
              <w:t>– su teiginiu ,,Aš gebu savarankiškai įgyvendinti uždavinius pamokose“ visiškai sutinka / ko gero</w:t>
            </w:r>
            <w:r w:rsidR="00D63A72" w:rsidRPr="00210822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2108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sutinka (87,93 proc.) mokinių.</w:t>
            </w:r>
          </w:p>
        </w:tc>
      </w:tr>
      <w:tr w:rsidR="007C4D0E" w14:paraId="7CD3EAEE" w14:textId="77777777" w:rsidTr="00D417E8">
        <w:tc>
          <w:tcPr>
            <w:tcW w:w="1838" w:type="dxa"/>
          </w:tcPr>
          <w:p w14:paraId="46EF3B67" w14:textId="6B93C636" w:rsidR="007C4D0E" w:rsidRDefault="007C4D0E" w:rsidP="0097375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Pedagoginės bendruomenės profesinio tobulėjimo poveikis mokinių pasiekimams ir pažangai</w:t>
            </w:r>
            <w:r w:rsidR="00D8259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8357" w:type="dxa"/>
          </w:tcPr>
          <w:p w14:paraId="57ED24A7" w14:textId="205754F8" w:rsidR="00054779" w:rsidRDefault="00054779" w:rsidP="0097375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● Profesinio tobulėjimo kryptys</w:t>
            </w:r>
            <w:r w:rsidR="007B4E8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6933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paveikiausiai </w:t>
            </w:r>
            <w:r w:rsidR="007B4E8C">
              <w:rPr>
                <w:rFonts w:ascii="Times New Roman" w:eastAsia="Calibri" w:hAnsi="Times New Roman" w:cs="Times New Roman"/>
                <w:sz w:val="24"/>
                <w:szCs w:val="24"/>
              </w:rPr>
              <w:t>užtikrin</w:t>
            </w:r>
            <w:r w:rsidR="006933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usios </w:t>
            </w:r>
            <w:r w:rsidR="007B4E8C">
              <w:rPr>
                <w:rFonts w:ascii="Times New Roman" w:eastAsia="Calibri" w:hAnsi="Times New Roman" w:cs="Times New Roman"/>
                <w:sz w:val="24"/>
                <w:szCs w:val="24"/>
              </w:rPr>
              <w:t>mokinių pasiekimus ir pažangą</w:t>
            </w:r>
            <w:r w:rsidR="005234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diegiant kompetencijų ugdymu grįstą</w:t>
            </w:r>
            <w:r w:rsidR="005B1F3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atnaujinto ugdymo turinį:</w:t>
            </w:r>
          </w:p>
          <w:p w14:paraId="0A46A991" w14:textId="48C2F53B" w:rsidR="00054779" w:rsidRPr="00054779" w:rsidRDefault="00054779" w:rsidP="0097375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– </w:t>
            </w:r>
            <w:r w:rsidR="00383467">
              <w:rPr>
                <w:rFonts w:ascii="Times New Roman" w:eastAsia="Calibri" w:hAnsi="Times New Roman" w:cs="Times New Roman"/>
                <w:sz w:val="24"/>
                <w:szCs w:val="24"/>
              </w:rPr>
              <w:t>į kompetencijų pažangą (pagal UTA) orientuotų uždavinių formulavimas (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pamokos </w:t>
            </w:r>
            <w:r w:rsidRPr="00054779">
              <w:rPr>
                <w:rFonts w:ascii="Times New Roman" w:eastAsia="Calibri" w:hAnsi="Times New Roman" w:cs="Times New Roman"/>
                <w:sz w:val="24"/>
                <w:szCs w:val="24"/>
              </w:rPr>
              <w:t>uždavinio kaita ir dermė įgyvendinant atnaujintą ugdymo turinį</w:t>
            </w:r>
            <w:r w:rsidR="00383467">
              <w:rPr>
                <w:rFonts w:ascii="Times New Roman" w:eastAsia="Calibri" w:hAnsi="Times New Roman" w:cs="Times New Roman"/>
                <w:sz w:val="24"/>
                <w:szCs w:val="24"/>
              </w:rPr>
              <w:t>);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694B6143" w14:textId="06430CD2" w:rsidR="00E76FDE" w:rsidRDefault="00054779" w:rsidP="00973755">
            <w:pPr>
              <w:spacing w:line="276" w:lineRule="auto"/>
              <w:jc w:val="both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– pamokos</w:t>
            </w:r>
            <w:r w:rsidRPr="000547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uždavini</w:t>
            </w:r>
            <w:r w:rsidR="00383467">
              <w:rPr>
                <w:rFonts w:ascii="Times New Roman" w:eastAsia="Calibri" w:hAnsi="Times New Roman" w:cs="Times New Roman"/>
                <w:sz w:val="24"/>
                <w:szCs w:val="24"/>
              </w:rPr>
              <w:t>ų</w:t>
            </w:r>
            <w:r w:rsidRPr="000547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sąsajų su pavyzdinių tarpinių patikrinimų užduočių turiniu užtikrinimo galimybės;</w:t>
            </w:r>
            <w:r w:rsidR="00E76FDE">
              <w:t xml:space="preserve"> </w:t>
            </w:r>
          </w:p>
          <w:p w14:paraId="79740A6B" w14:textId="0D756BF1" w:rsidR="005F1C10" w:rsidRDefault="00E76FDE" w:rsidP="0097375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t xml:space="preserve">– </w:t>
            </w:r>
            <w:r w:rsidRPr="00E76FDE">
              <w:rPr>
                <w:rFonts w:ascii="Times New Roman" w:eastAsia="Calibri" w:hAnsi="Times New Roman" w:cs="Times New Roman"/>
                <w:sz w:val="24"/>
                <w:szCs w:val="24"/>
              </w:rPr>
              <w:t>pamokų apimties, kuriose pamokos uždavinį įgyvendina (savarankiškai pademonstruoja dalyko pažinimo kompetencijos fragmentą)  beveik visi mokiniai, pokyčio stebėsena;</w:t>
            </w:r>
          </w:p>
          <w:p w14:paraId="5EBE9E86" w14:textId="497BE836" w:rsidR="00322CAE" w:rsidRDefault="00322CAE" w:rsidP="0097375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– </w:t>
            </w:r>
            <w:r w:rsidRPr="00322CAE">
              <w:rPr>
                <w:rFonts w:ascii="Times New Roman" w:eastAsia="Calibri" w:hAnsi="Times New Roman" w:cs="Times New Roman"/>
                <w:sz w:val="24"/>
                <w:szCs w:val="24"/>
              </w:rPr>
              <w:t>mokinių, kurie pamokos uždavinį įgyvendina (savarankiškai pademonstruoja dalyko pažinimo kompetencijos fragmentą) beveik visose pamokose, galimybių pokyčio stebėsen</w:t>
            </w:r>
            <w:r w:rsidR="00E76FDE">
              <w:rPr>
                <w:rFonts w:ascii="Times New Roman" w:eastAsia="Calibri" w:hAnsi="Times New Roman" w:cs="Times New Roman"/>
                <w:sz w:val="24"/>
                <w:szCs w:val="24"/>
              </w:rPr>
              <w:t>a</w:t>
            </w:r>
            <w:r w:rsidRPr="00322CA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62C6B9D4" w14:textId="0841D17A" w:rsidR="00D82599" w:rsidRPr="0096710A" w:rsidRDefault="0066279A" w:rsidP="0097375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● </w:t>
            </w:r>
            <w:r w:rsidR="0096710A" w:rsidRPr="0096710A">
              <w:rPr>
                <w:rFonts w:ascii="Times New Roman" w:eastAsia="Calibri" w:hAnsi="Times New Roman" w:cs="Times New Roman"/>
                <w:sz w:val="24"/>
                <w:szCs w:val="24"/>
              </w:rPr>
              <w:t>Atnaujinto ugdymo turinio įgyvendinimo I ir III klasėse lygmuo, nustatytas vidaus įsivertinimo metu analizuojant į kompetencijų raišką orientuotų pamokos uždavinių mastą</w:t>
            </w:r>
            <w:r w:rsidR="008C75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6710A" w:rsidRPr="009671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– </w:t>
            </w:r>
            <w:r w:rsidR="0096710A" w:rsidRPr="0096710A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„tinkama</w:t>
            </w:r>
            <w:r w:rsidR="0096710A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s</w:t>
            </w:r>
            <w:r w:rsidR="0096710A" w:rsidRPr="0096710A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“</w:t>
            </w:r>
            <w:r w:rsidR="0096710A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96710A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="0096710A" w:rsidRPr="0096710A">
              <w:rPr>
                <w:rFonts w:ascii="Times New Roman" w:eastAsia="Calibri" w:hAnsi="Times New Roman" w:cs="Times New Roman"/>
                <w:sz w:val="24"/>
                <w:szCs w:val="24"/>
              </w:rPr>
              <w:t>pagal aprašomuosius veiklos kokybės vertinimus).</w:t>
            </w:r>
          </w:p>
        </w:tc>
      </w:tr>
    </w:tbl>
    <w:p w14:paraId="6F7385AE" w14:textId="3CDC8B90" w:rsidR="00207BDC" w:rsidRDefault="00207BDC" w:rsidP="0097375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E2DC4A" w14:textId="2C0429DB" w:rsidR="00207BDC" w:rsidRPr="00644656" w:rsidRDefault="00207BDC" w:rsidP="00207BDC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sectPr w:rsidR="00207BDC" w:rsidRPr="00644656" w:rsidSect="003F2555">
      <w:pgSz w:w="11906" w:h="16838"/>
      <w:pgMar w:top="993" w:right="567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Myriad Pro">
    <w:altName w:val="Myriad Pr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AE757E"/>
    <w:multiLevelType w:val="hybridMultilevel"/>
    <w:tmpl w:val="C6A2B8F4"/>
    <w:lvl w:ilvl="0" w:tplc="E174D8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4868C9"/>
    <w:multiLevelType w:val="hybridMultilevel"/>
    <w:tmpl w:val="7C3EF558"/>
    <w:lvl w:ilvl="0" w:tplc="C958E0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A8018C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A6805E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380ED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570F35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3FA59C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9000E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A36230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1C4006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D30"/>
    <w:rsid w:val="0001220C"/>
    <w:rsid w:val="00014D5B"/>
    <w:rsid w:val="00017F5E"/>
    <w:rsid w:val="00033742"/>
    <w:rsid w:val="00037C0B"/>
    <w:rsid w:val="0004543D"/>
    <w:rsid w:val="00051FF5"/>
    <w:rsid w:val="00052C47"/>
    <w:rsid w:val="00054779"/>
    <w:rsid w:val="00074EC8"/>
    <w:rsid w:val="000828D2"/>
    <w:rsid w:val="00092E90"/>
    <w:rsid w:val="0009450F"/>
    <w:rsid w:val="00094BAF"/>
    <w:rsid w:val="00097EAC"/>
    <w:rsid w:val="000A2CF9"/>
    <w:rsid w:val="000A5D0E"/>
    <w:rsid w:val="000B2CCE"/>
    <w:rsid w:val="000B487B"/>
    <w:rsid w:val="000D1260"/>
    <w:rsid w:val="000E79A2"/>
    <w:rsid w:val="000F31AD"/>
    <w:rsid w:val="000F4BFB"/>
    <w:rsid w:val="001072B2"/>
    <w:rsid w:val="0011727B"/>
    <w:rsid w:val="00124B0C"/>
    <w:rsid w:val="001347FE"/>
    <w:rsid w:val="00137C3D"/>
    <w:rsid w:val="00143FD0"/>
    <w:rsid w:val="00154F2A"/>
    <w:rsid w:val="0018672E"/>
    <w:rsid w:val="00191F03"/>
    <w:rsid w:val="001A389E"/>
    <w:rsid w:val="001B0914"/>
    <w:rsid w:val="001B21C4"/>
    <w:rsid w:val="001B7DC0"/>
    <w:rsid w:val="001D291B"/>
    <w:rsid w:val="001F07CD"/>
    <w:rsid w:val="002019BD"/>
    <w:rsid w:val="00204271"/>
    <w:rsid w:val="00207BDC"/>
    <w:rsid w:val="00210822"/>
    <w:rsid w:val="00214A9C"/>
    <w:rsid w:val="00216F04"/>
    <w:rsid w:val="00227DDA"/>
    <w:rsid w:val="0023195A"/>
    <w:rsid w:val="00235EF4"/>
    <w:rsid w:val="00236BA8"/>
    <w:rsid w:val="00244BEA"/>
    <w:rsid w:val="002461B1"/>
    <w:rsid w:val="0024725D"/>
    <w:rsid w:val="00260B80"/>
    <w:rsid w:val="0026543D"/>
    <w:rsid w:val="002744F9"/>
    <w:rsid w:val="00275061"/>
    <w:rsid w:val="00276563"/>
    <w:rsid w:val="00280C04"/>
    <w:rsid w:val="002823C2"/>
    <w:rsid w:val="0028432D"/>
    <w:rsid w:val="00287739"/>
    <w:rsid w:val="00287D11"/>
    <w:rsid w:val="00290547"/>
    <w:rsid w:val="00290B09"/>
    <w:rsid w:val="0029406D"/>
    <w:rsid w:val="0029775A"/>
    <w:rsid w:val="002A6E9A"/>
    <w:rsid w:val="002B77B5"/>
    <w:rsid w:val="002E2A19"/>
    <w:rsid w:val="002E2CE6"/>
    <w:rsid w:val="002F1265"/>
    <w:rsid w:val="002F7D0E"/>
    <w:rsid w:val="00301A3F"/>
    <w:rsid w:val="00307AE2"/>
    <w:rsid w:val="00313F34"/>
    <w:rsid w:val="00316920"/>
    <w:rsid w:val="00322CAE"/>
    <w:rsid w:val="003351D0"/>
    <w:rsid w:val="00335544"/>
    <w:rsid w:val="00343B9F"/>
    <w:rsid w:val="003440BE"/>
    <w:rsid w:val="00365BD5"/>
    <w:rsid w:val="003778F3"/>
    <w:rsid w:val="00383467"/>
    <w:rsid w:val="003A13A4"/>
    <w:rsid w:val="003A2096"/>
    <w:rsid w:val="003A4A3A"/>
    <w:rsid w:val="003A4B48"/>
    <w:rsid w:val="003A7F35"/>
    <w:rsid w:val="003B64D1"/>
    <w:rsid w:val="003D0D17"/>
    <w:rsid w:val="003E5B53"/>
    <w:rsid w:val="003F0343"/>
    <w:rsid w:val="003F2555"/>
    <w:rsid w:val="003F3307"/>
    <w:rsid w:val="004038B4"/>
    <w:rsid w:val="004115A5"/>
    <w:rsid w:val="0042086D"/>
    <w:rsid w:val="00433BA3"/>
    <w:rsid w:val="004403A1"/>
    <w:rsid w:val="00455340"/>
    <w:rsid w:val="00463C8A"/>
    <w:rsid w:val="00473ECB"/>
    <w:rsid w:val="00483D6F"/>
    <w:rsid w:val="004B3602"/>
    <w:rsid w:val="004C12F5"/>
    <w:rsid w:val="004D3B43"/>
    <w:rsid w:val="004E1E9D"/>
    <w:rsid w:val="004E59C6"/>
    <w:rsid w:val="004F7037"/>
    <w:rsid w:val="00500605"/>
    <w:rsid w:val="0051603D"/>
    <w:rsid w:val="005234F0"/>
    <w:rsid w:val="00534E9D"/>
    <w:rsid w:val="00541202"/>
    <w:rsid w:val="005475BC"/>
    <w:rsid w:val="005573C9"/>
    <w:rsid w:val="00563815"/>
    <w:rsid w:val="00567F63"/>
    <w:rsid w:val="0058334B"/>
    <w:rsid w:val="0059028A"/>
    <w:rsid w:val="0059245E"/>
    <w:rsid w:val="0059289C"/>
    <w:rsid w:val="005A388B"/>
    <w:rsid w:val="005B1F35"/>
    <w:rsid w:val="005C4384"/>
    <w:rsid w:val="005D0AA2"/>
    <w:rsid w:val="005D4FF3"/>
    <w:rsid w:val="005E253D"/>
    <w:rsid w:val="005F1C10"/>
    <w:rsid w:val="006056BD"/>
    <w:rsid w:val="00605C4A"/>
    <w:rsid w:val="00610BAE"/>
    <w:rsid w:val="00613306"/>
    <w:rsid w:val="00623361"/>
    <w:rsid w:val="00641252"/>
    <w:rsid w:val="0064127F"/>
    <w:rsid w:val="00644656"/>
    <w:rsid w:val="00644897"/>
    <w:rsid w:val="00646E1A"/>
    <w:rsid w:val="00650409"/>
    <w:rsid w:val="006535F6"/>
    <w:rsid w:val="00653692"/>
    <w:rsid w:val="00657C0A"/>
    <w:rsid w:val="0066279A"/>
    <w:rsid w:val="00663582"/>
    <w:rsid w:val="00663DA0"/>
    <w:rsid w:val="00673369"/>
    <w:rsid w:val="00680571"/>
    <w:rsid w:val="0069339F"/>
    <w:rsid w:val="00695596"/>
    <w:rsid w:val="006971A5"/>
    <w:rsid w:val="006A0C4E"/>
    <w:rsid w:val="006B2357"/>
    <w:rsid w:val="006C3C05"/>
    <w:rsid w:val="006E6155"/>
    <w:rsid w:val="006F188B"/>
    <w:rsid w:val="0070407F"/>
    <w:rsid w:val="00707970"/>
    <w:rsid w:val="00721A8F"/>
    <w:rsid w:val="007410AA"/>
    <w:rsid w:val="00746407"/>
    <w:rsid w:val="00767C45"/>
    <w:rsid w:val="0077207C"/>
    <w:rsid w:val="00776D9D"/>
    <w:rsid w:val="007848C7"/>
    <w:rsid w:val="00794DD0"/>
    <w:rsid w:val="007A49F9"/>
    <w:rsid w:val="007B4E8C"/>
    <w:rsid w:val="007B73D5"/>
    <w:rsid w:val="007C1537"/>
    <w:rsid w:val="007C4D0E"/>
    <w:rsid w:val="007E75B9"/>
    <w:rsid w:val="007F20C4"/>
    <w:rsid w:val="007F51A7"/>
    <w:rsid w:val="00803856"/>
    <w:rsid w:val="008117D9"/>
    <w:rsid w:val="00821164"/>
    <w:rsid w:val="00823ADC"/>
    <w:rsid w:val="0084722F"/>
    <w:rsid w:val="00856ECC"/>
    <w:rsid w:val="00860B88"/>
    <w:rsid w:val="0086184F"/>
    <w:rsid w:val="00873984"/>
    <w:rsid w:val="00887C1C"/>
    <w:rsid w:val="0089115A"/>
    <w:rsid w:val="008969C6"/>
    <w:rsid w:val="008A4679"/>
    <w:rsid w:val="008B631C"/>
    <w:rsid w:val="008C1804"/>
    <w:rsid w:val="008C75DE"/>
    <w:rsid w:val="008E0041"/>
    <w:rsid w:val="008F0B33"/>
    <w:rsid w:val="00900E37"/>
    <w:rsid w:val="00900EFC"/>
    <w:rsid w:val="00915BD1"/>
    <w:rsid w:val="00917C41"/>
    <w:rsid w:val="00924085"/>
    <w:rsid w:val="00925062"/>
    <w:rsid w:val="0094503F"/>
    <w:rsid w:val="00947CF9"/>
    <w:rsid w:val="0096710A"/>
    <w:rsid w:val="00973755"/>
    <w:rsid w:val="00980598"/>
    <w:rsid w:val="009824FA"/>
    <w:rsid w:val="009825AA"/>
    <w:rsid w:val="00994165"/>
    <w:rsid w:val="009A1DDD"/>
    <w:rsid w:val="009A673F"/>
    <w:rsid w:val="009A6C6A"/>
    <w:rsid w:val="009B3E10"/>
    <w:rsid w:val="009C013D"/>
    <w:rsid w:val="009C2BD4"/>
    <w:rsid w:val="009D15D5"/>
    <w:rsid w:val="009E0777"/>
    <w:rsid w:val="009E69E2"/>
    <w:rsid w:val="009F4F8F"/>
    <w:rsid w:val="00A32536"/>
    <w:rsid w:val="00A3368C"/>
    <w:rsid w:val="00A54A61"/>
    <w:rsid w:val="00A81C55"/>
    <w:rsid w:val="00A911A1"/>
    <w:rsid w:val="00A93504"/>
    <w:rsid w:val="00A940C5"/>
    <w:rsid w:val="00A96200"/>
    <w:rsid w:val="00AC73D9"/>
    <w:rsid w:val="00AD5383"/>
    <w:rsid w:val="00AD68E9"/>
    <w:rsid w:val="00AE3472"/>
    <w:rsid w:val="00AE3912"/>
    <w:rsid w:val="00AE3D15"/>
    <w:rsid w:val="00AE5FBF"/>
    <w:rsid w:val="00AF525D"/>
    <w:rsid w:val="00B056CB"/>
    <w:rsid w:val="00B05F73"/>
    <w:rsid w:val="00B10D41"/>
    <w:rsid w:val="00B13A6C"/>
    <w:rsid w:val="00B17696"/>
    <w:rsid w:val="00B2001A"/>
    <w:rsid w:val="00B2323A"/>
    <w:rsid w:val="00B252FB"/>
    <w:rsid w:val="00B27B51"/>
    <w:rsid w:val="00B311F2"/>
    <w:rsid w:val="00B36EC6"/>
    <w:rsid w:val="00B42B31"/>
    <w:rsid w:val="00B716BF"/>
    <w:rsid w:val="00B71D64"/>
    <w:rsid w:val="00B77D60"/>
    <w:rsid w:val="00B941DB"/>
    <w:rsid w:val="00B96646"/>
    <w:rsid w:val="00BC2B78"/>
    <w:rsid w:val="00BC3CF7"/>
    <w:rsid w:val="00BD375F"/>
    <w:rsid w:val="00BD38A5"/>
    <w:rsid w:val="00C0048E"/>
    <w:rsid w:val="00C00B46"/>
    <w:rsid w:val="00C14120"/>
    <w:rsid w:val="00C14F89"/>
    <w:rsid w:val="00C21657"/>
    <w:rsid w:val="00C31D1B"/>
    <w:rsid w:val="00C357C4"/>
    <w:rsid w:val="00C40CF5"/>
    <w:rsid w:val="00C4232D"/>
    <w:rsid w:val="00C54EE8"/>
    <w:rsid w:val="00C54F7B"/>
    <w:rsid w:val="00C7144D"/>
    <w:rsid w:val="00C827D3"/>
    <w:rsid w:val="00C9008F"/>
    <w:rsid w:val="00C96CF5"/>
    <w:rsid w:val="00CA2849"/>
    <w:rsid w:val="00CA7472"/>
    <w:rsid w:val="00CB0DD0"/>
    <w:rsid w:val="00CC06FF"/>
    <w:rsid w:val="00CD5CFD"/>
    <w:rsid w:val="00CD629B"/>
    <w:rsid w:val="00CD6C13"/>
    <w:rsid w:val="00CE6F79"/>
    <w:rsid w:val="00D0268B"/>
    <w:rsid w:val="00D052B6"/>
    <w:rsid w:val="00D068BD"/>
    <w:rsid w:val="00D14BF5"/>
    <w:rsid w:val="00D15061"/>
    <w:rsid w:val="00D17755"/>
    <w:rsid w:val="00D24BB4"/>
    <w:rsid w:val="00D258B5"/>
    <w:rsid w:val="00D31FE3"/>
    <w:rsid w:val="00D417E8"/>
    <w:rsid w:val="00D41F70"/>
    <w:rsid w:val="00D521BD"/>
    <w:rsid w:val="00D63A72"/>
    <w:rsid w:val="00D76195"/>
    <w:rsid w:val="00D81E75"/>
    <w:rsid w:val="00D82599"/>
    <w:rsid w:val="00D85C2A"/>
    <w:rsid w:val="00DB659B"/>
    <w:rsid w:val="00DB6E97"/>
    <w:rsid w:val="00DC3AF4"/>
    <w:rsid w:val="00DD1F3E"/>
    <w:rsid w:val="00DD7852"/>
    <w:rsid w:val="00DD7BB9"/>
    <w:rsid w:val="00DE2DCF"/>
    <w:rsid w:val="00DF08CC"/>
    <w:rsid w:val="00E0033F"/>
    <w:rsid w:val="00E03D52"/>
    <w:rsid w:val="00E073CF"/>
    <w:rsid w:val="00E16FE3"/>
    <w:rsid w:val="00E251B1"/>
    <w:rsid w:val="00E25620"/>
    <w:rsid w:val="00E26171"/>
    <w:rsid w:val="00E26D30"/>
    <w:rsid w:val="00E30184"/>
    <w:rsid w:val="00E37200"/>
    <w:rsid w:val="00E45C6C"/>
    <w:rsid w:val="00E501FE"/>
    <w:rsid w:val="00E621BB"/>
    <w:rsid w:val="00E62537"/>
    <w:rsid w:val="00E62D8C"/>
    <w:rsid w:val="00E642DD"/>
    <w:rsid w:val="00E7231D"/>
    <w:rsid w:val="00E74643"/>
    <w:rsid w:val="00E76D55"/>
    <w:rsid w:val="00E76E7B"/>
    <w:rsid w:val="00E76FDE"/>
    <w:rsid w:val="00E85D51"/>
    <w:rsid w:val="00E90315"/>
    <w:rsid w:val="00EA46C8"/>
    <w:rsid w:val="00EB1999"/>
    <w:rsid w:val="00EB4C58"/>
    <w:rsid w:val="00ED3976"/>
    <w:rsid w:val="00EE6AF3"/>
    <w:rsid w:val="00EF3D95"/>
    <w:rsid w:val="00EF6A05"/>
    <w:rsid w:val="00F000FB"/>
    <w:rsid w:val="00F00B5A"/>
    <w:rsid w:val="00F02821"/>
    <w:rsid w:val="00F11726"/>
    <w:rsid w:val="00F35938"/>
    <w:rsid w:val="00F36E65"/>
    <w:rsid w:val="00F37EBE"/>
    <w:rsid w:val="00F42373"/>
    <w:rsid w:val="00F71294"/>
    <w:rsid w:val="00F90A3D"/>
    <w:rsid w:val="00F92982"/>
    <w:rsid w:val="00F9761A"/>
    <w:rsid w:val="00FA2CF3"/>
    <w:rsid w:val="00FA5F4D"/>
    <w:rsid w:val="00FB79C5"/>
    <w:rsid w:val="00FD0F61"/>
    <w:rsid w:val="00FD2E0D"/>
    <w:rsid w:val="00FD4E10"/>
    <w:rsid w:val="00FE5780"/>
    <w:rsid w:val="00FF0497"/>
    <w:rsid w:val="00FF37FA"/>
    <w:rsid w:val="00FF6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EC49B"/>
  <w15:chartTrackingRefBased/>
  <w15:docId w15:val="{53A5913C-9225-4FE5-8864-B2C12A0D7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2A6E9A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A6E9A"/>
    <w:rPr>
      <w:color w:val="605E5C"/>
      <w:shd w:val="clear" w:color="auto" w:fill="E1DFDD"/>
    </w:rPr>
  </w:style>
  <w:style w:type="table" w:styleId="Lentelstinklelis">
    <w:name w:val="Table Grid"/>
    <w:basedOn w:val="prastojilentel"/>
    <w:uiPriority w:val="39"/>
    <w:rsid w:val="00280C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44656"/>
    <w:pPr>
      <w:autoSpaceDE w:val="0"/>
      <w:autoSpaceDN w:val="0"/>
      <w:adjustRightInd w:val="0"/>
      <w:spacing w:after="0" w:line="240" w:lineRule="auto"/>
    </w:pPr>
    <w:rPr>
      <w:rFonts w:ascii="Myriad Pro" w:hAnsi="Myriad Pro" w:cs="Myriad Pro"/>
      <w:color w:val="000000"/>
      <w:sz w:val="24"/>
      <w:szCs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124B0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124B0C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124B0C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24B0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124B0C"/>
    <w:rPr>
      <w:b/>
      <w:bCs/>
      <w:sz w:val="20"/>
      <w:szCs w:val="20"/>
    </w:rPr>
  </w:style>
  <w:style w:type="character" w:styleId="Vietosrezervavimoenklotekstas">
    <w:name w:val="Placeholder Text"/>
    <w:basedOn w:val="Numatytasispastraiposriftas"/>
    <w:uiPriority w:val="99"/>
    <w:semiHidden/>
    <w:rsid w:val="009B3E10"/>
    <w:rPr>
      <w:color w:val="808080"/>
    </w:rPr>
  </w:style>
  <w:style w:type="paragraph" w:styleId="Sraopastraipa">
    <w:name w:val="List Paragraph"/>
    <w:basedOn w:val="prastasis"/>
    <w:link w:val="SraopastraipaDiagrama"/>
    <w:uiPriority w:val="34"/>
    <w:qFormat/>
    <w:rsid w:val="0064127F"/>
    <w:pPr>
      <w:spacing w:after="200" w:line="276" w:lineRule="auto"/>
      <w:ind w:left="720"/>
      <w:contextualSpacing/>
    </w:pPr>
    <w:rPr>
      <w:rFonts w:ascii="Calibri" w:eastAsia="Calibri" w:hAnsi="Calibri" w:cs="Calibri"/>
      <w:lang w:eastAsia="lt-LT"/>
    </w:rPr>
  </w:style>
  <w:style w:type="character" w:customStyle="1" w:styleId="SraopastraipaDiagrama">
    <w:name w:val="Sąrašo pastraipa Diagrama"/>
    <w:link w:val="Sraopastraipa"/>
    <w:uiPriority w:val="34"/>
    <w:locked/>
    <w:rsid w:val="0064127F"/>
    <w:rPr>
      <w:rFonts w:ascii="Calibri" w:eastAsia="Calibri" w:hAnsi="Calibri" w:cs="Calibri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113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05953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9607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3918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7669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8578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1355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77077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tuok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522</TotalTime>
  <Pages>3</Pages>
  <Words>5259</Words>
  <Characters>2999</Characters>
  <Application>Microsoft Office Word</Application>
  <DocSecurity>0</DocSecurity>
  <Lines>24</Lines>
  <Paragraphs>16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 Valauskienė</dc:creator>
  <cp:keywords/>
  <dc:description/>
  <cp:lastModifiedBy>Vartotojas</cp:lastModifiedBy>
  <cp:revision>440</cp:revision>
  <dcterms:created xsi:type="dcterms:W3CDTF">2023-03-01T16:18:00Z</dcterms:created>
  <dcterms:modified xsi:type="dcterms:W3CDTF">2024-02-26T12:37:00Z</dcterms:modified>
</cp:coreProperties>
</file>